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4191C" w14:textId="2CD690F7" w:rsidR="007B6E73" w:rsidRDefault="007B6E73">
      <w:pPr>
        <w:bidi w:val="0"/>
      </w:pPr>
    </w:p>
    <w:p w14:paraId="7B0F7D67" w14:textId="77777777" w:rsidR="00665971" w:rsidRDefault="00665971">
      <w:pPr>
        <w:bidi w:val="0"/>
      </w:pPr>
    </w:p>
    <w:p w14:paraId="3E841B36" w14:textId="77777777" w:rsidR="00665971" w:rsidRDefault="00665971" w:rsidP="00665971">
      <w:pPr>
        <w:bidi w:val="0"/>
        <w:rPr>
          <w:rtl/>
        </w:rPr>
      </w:pPr>
    </w:p>
    <w:p w14:paraId="61220F42" w14:textId="77777777" w:rsidR="00750BBC" w:rsidRDefault="00750BBC" w:rsidP="00750BBC">
      <w:pPr>
        <w:bidi w:val="0"/>
      </w:pPr>
    </w:p>
    <w:p w14:paraId="6403FA0C" w14:textId="77777777" w:rsidR="007B6E73" w:rsidRDefault="007B6E73" w:rsidP="007B6E73">
      <w:pPr>
        <w:bidi w:val="0"/>
        <w:jc w:val="center"/>
        <w:rPr>
          <w:b/>
          <w:bCs/>
          <w:i/>
          <w:iCs/>
          <w:color w:val="0070C0"/>
          <w:sz w:val="48"/>
          <w:szCs w:val="48"/>
        </w:rPr>
      </w:pPr>
    </w:p>
    <w:p w14:paraId="079C8504" w14:textId="77777777" w:rsidR="007B6E73" w:rsidRDefault="007B6E73" w:rsidP="007B6E73">
      <w:pPr>
        <w:bidi w:val="0"/>
        <w:jc w:val="center"/>
        <w:rPr>
          <w:b/>
          <w:bCs/>
          <w:i/>
          <w:iCs/>
          <w:color w:val="0070C0"/>
          <w:sz w:val="48"/>
          <w:szCs w:val="48"/>
        </w:rPr>
      </w:pPr>
    </w:p>
    <w:p w14:paraId="1AA79816" w14:textId="77777777" w:rsidR="007B6E73" w:rsidRDefault="007B6E73" w:rsidP="007B6E73">
      <w:pPr>
        <w:bidi w:val="0"/>
        <w:jc w:val="center"/>
        <w:rPr>
          <w:b/>
          <w:bCs/>
          <w:i/>
          <w:iCs/>
          <w:color w:val="0070C0"/>
          <w:sz w:val="48"/>
          <w:szCs w:val="48"/>
        </w:rPr>
      </w:pPr>
    </w:p>
    <w:p w14:paraId="2A824F39" w14:textId="77777777" w:rsidR="007B6E73" w:rsidRDefault="007B6E73" w:rsidP="007B6E73">
      <w:pPr>
        <w:bidi w:val="0"/>
        <w:jc w:val="center"/>
        <w:rPr>
          <w:b/>
          <w:bCs/>
          <w:i/>
          <w:iCs/>
          <w:color w:val="0070C0"/>
          <w:sz w:val="48"/>
          <w:szCs w:val="48"/>
        </w:rPr>
      </w:pPr>
    </w:p>
    <w:p w14:paraId="6425FF44" w14:textId="77777777" w:rsidR="007B6E73" w:rsidRDefault="007B6E73" w:rsidP="004F43F9"/>
    <w:p w14:paraId="20BED16F" w14:textId="77777777" w:rsidR="007B6E73" w:rsidRDefault="007B6E73" w:rsidP="004F43F9"/>
    <w:p w14:paraId="53756138" w14:textId="5AAA204F" w:rsidR="007B6E73" w:rsidRPr="00DE68A1" w:rsidRDefault="007B6E73" w:rsidP="00C169C1">
      <w:pPr>
        <w:bidi w:val="0"/>
        <w:jc w:val="center"/>
        <w:rPr>
          <w:b/>
          <w:bCs/>
          <w:i/>
          <w:iCs/>
          <w:strike/>
          <w:color w:val="0070C0"/>
          <w:sz w:val="48"/>
          <w:szCs w:val="48"/>
        </w:rPr>
      </w:pPr>
      <w:r w:rsidRPr="00DE68A1">
        <w:rPr>
          <w:b/>
          <w:bCs/>
          <w:i/>
          <w:iCs/>
          <w:color w:val="0070C0"/>
          <w:sz w:val="48"/>
          <w:szCs w:val="48"/>
        </w:rPr>
        <w:t>Risk Management Disclosures</w:t>
      </w:r>
      <w:r w:rsidR="00E65185" w:rsidRPr="00DE68A1">
        <w:rPr>
          <w:b/>
          <w:bCs/>
          <w:i/>
          <w:iCs/>
          <w:color w:val="0070C0"/>
          <w:sz w:val="48"/>
          <w:szCs w:val="48"/>
        </w:rPr>
        <w:t xml:space="preserve"> </w:t>
      </w:r>
      <w:r w:rsidR="00E01875" w:rsidRPr="00DE68A1">
        <w:rPr>
          <w:b/>
          <w:bCs/>
          <w:i/>
          <w:iCs/>
          <w:color w:val="0070C0"/>
          <w:sz w:val="48"/>
          <w:szCs w:val="48"/>
        </w:rPr>
        <w:t>202</w:t>
      </w:r>
      <w:r w:rsidR="00072896" w:rsidRPr="00DE68A1">
        <w:rPr>
          <w:b/>
          <w:bCs/>
          <w:i/>
          <w:iCs/>
          <w:color w:val="0070C0"/>
          <w:sz w:val="48"/>
          <w:szCs w:val="48"/>
        </w:rPr>
        <w:t>5</w:t>
      </w:r>
    </w:p>
    <w:p w14:paraId="591F8FA3" w14:textId="77777777" w:rsidR="007B6E73" w:rsidRPr="00DE68A1" w:rsidRDefault="007B6E73" w:rsidP="007B6E73">
      <w:pPr>
        <w:bidi w:val="0"/>
        <w:jc w:val="center"/>
        <w:rPr>
          <w:b/>
          <w:bCs/>
          <w:i/>
          <w:iCs/>
          <w:color w:val="0070C0"/>
          <w:sz w:val="48"/>
          <w:szCs w:val="48"/>
        </w:rPr>
      </w:pPr>
    </w:p>
    <w:p w14:paraId="2AD64871" w14:textId="77777777" w:rsidR="007B6E73" w:rsidRPr="00DE68A1" w:rsidRDefault="007B6E73" w:rsidP="007B6E73">
      <w:pPr>
        <w:bidi w:val="0"/>
        <w:jc w:val="center"/>
        <w:rPr>
          <w:b/>
          <w:bCs/>
          <w:i/>
          <w:iCs/>
          <w:color w:val="0070C0"/>
          <w:sz w:val="48"/>
          <w:szCs w:val="48"/>
        </w:rPr>
      </w:pPr>
    </w:p>
    <w:p w14:paraId="79A5E3ED" w14:textId="77777777" w:rsidR="007B6E73" w:rsidRPr="00DE68A1" w:rsidRDefault="007B6E73" w:rsidP="007B6E73">
      <w:pPr>
        <w:bidi w:val="0"/>
        <w:jc w:val="center"/>
        <w:rPr>
          <w:b/>
          <w:bCs/>
          <w:i/>
          <w:iCs/>
          <w:color w:val="0070C0"/>
          <w:sz w:val="48"/>
          <w:szCs w:val="48"/>
        </w:rPr>
      </w:pPr>
    </w:p>
    <w:p w14:paraId="6C25E2DF" w14:textId="77777777" w:rsidR="007B6E73" w:rsidRPr="00DE68A1" w:rsidRDefault="007B6E73" w:rsidP="007B6E73">
      <w:pPr>
        <w:bidi w:val="0"/>
        <w:jc w:val="center"/>
        <w:rPr>
          <w:b/>
          <w:bCs/>
          <w:i/>
          <w:iCs/>
          <w:color w:val="0070C0"/>
          <w:sz w:val="48"/>
          <w:szCs w:val="48"/>
        </w:rPr>
      </w:pPr>
    </w:p>
    <w:p w14:paraId="047D74E2" w14:textId="77777777" w:rsidR="007B6E73" w:rsidRPr="00DE68A1" w:rsidRDefault="007B6E73" w:rsidP="007B6E73">
      <w:pPr>
        <w:bidi w:val="0"/>
        <w:jc w:val="center"/>
        <w:rPr>
          <w:b/>
          <w:bCs/>
          <w:i/>
          <w:iCs/>
          <w:color w:val="0070C0"/>
          <w:sz w:val="48"/>
          <w:szCs w:val="48"/>
        </w:rPr>
      </w:pPr>
    </w:p>
    <w:p w14:paraId="5BF9BCEB" w14:textId="77777777" w:rsidR="007B6E73" w:rsidRPr="00DE68A1" w:rsidRDefault="007B6E73" w:rsidP="007B6E73">
      <w:pPr>
        <w:bidi w:val="0"/>
        <w:jc w:val="center"/>
        <w:rPr>
          <w:b/>
          <w:bCs/>
          <w:i/>
          <w:iCs/>
          <w:color w:val="0070C0"/>
          <w:sz w:val="48"/>
          <w:szCs w:val="48"/>
        </w:rPr>
      </w:pPr>
    </w:p>
    <w:p w14:paraId="16D173C4" w14:textId="77777777" w:rsidR="007B6E73" w:rsidRPr="00DE68A1" w:rsidRDefault="007B6E73" w:rsidP="007B6E73">
      <w:pPr>
        <w:bidi w:val="0"/>
        <w:jc w:val="center"/>
        <w:rPr>
          <w:b/>
          <w:bCs/>
          <w:i/>
          <w:iCs/>
          <w:color w:val="0070C0"/>
          <w:sz w:val="48"/>
          <w:szCs w:val="48"/>
        </w:rPr>
      </w:pPr>
    </w:p>
    <w:p w14:paraId="7C52EB5C" w14:textId="77777777" w:rsidR="007B6E73" w:rsidRPr="00DE68A1" w:rsidRDefault="007B6E73" w:rsidP="007B6E73">
      <w:pPr>
        <w:bidi w:val="0"/>
        <w:jc w:val="center"/>
        <w:rPr>
          <w:b/>
          <w:bCs/>
          <w:i/>
          <w:iCs/>
          <w:color w:val="0070C0"/>
          <w:sz w:val="48"/>
          <w:szCs w:val="48"/>
        </w:rPr>
      </w:pPr>
    </w:p>
    <w:p w14:paraId="141C1B5D" w14:textId="77777777" w:rsidR="007B6E73" w:rsidRPr="00DE68A1" w:rsidRDefault="007B6E73" w:rsidP="007B6E73">
      <w:pPr>
        <w:bidi w:val="0"/>
        <w:jc w:val="center"/>
        <w:rPr>
          <w:b/>
          <w:bCs/>
          <w:i/>
          <w:iCs/>
          <w:color w:val="0070C0"/>
          <w:sz w:val="48"/>
          <w:szCs w:val="48"/>
        </w:rPr>
      </w:pPr>
    </w:p>
    <w:p w14:paraId="15528AD7" w14:textId="77777777" w:rsidR="007B6E73" w:rsidRPr="00DE68A1" w:rsidRDefault="007B6E73" w:rsidP="007B6E73">
      <w:pPr>
        <w:bidi w:val="0"/>
        <w:jc w:val="center"/>
        <w:rPr>
          <w:b/>
          <w:bCs/>
          <w:i/>
          <w:iCs/>
          <w:color w:val="0070C0"/>
          <w:sz w:val="48"/>
          <w:szCs w:val="48"/>
        </w:rPr>
      </w:pPr>
    </w:p>
    <w:p w14:paraId="1AA51B98" w14:textId="77777777" w:rsidR="007B6E73" w:rsidRPr="00DE68A1" w:rsidRDefault="007B6E73" w:rsidP="007B6E73">
      <w:pPr>
        <w:bidi w:val="0"/>
        <w:jc w:val="center"/>
        <w:rPr>
          <w:b/>
          <w:bCs/>
          <w:i/>
          <w:iCs/>
          <w:color w:val="0070C0"/>
          <w:sz w:val="48"/>
          <w:szCs w:val="48"/>
        </w:rPr>
      </w:pPr>
    </w:p>
    <w:p w14:paraId="4B20669E" w14:textId="77777777" w:rsidR="007B6E73" w:rsidRPr="00DE68A1" w:rsidRDefault="007B6E73" w:rsidP="007B6E73">
      <w:pPr>
        <w:bidi w:val="0"/>
        <w:jc w:val="center"/>
        <w:rPr>
          <w:b/>
          <w:bCs/>
          <w:i/>
          <w:iCs/>
          <w:color w:val="0070C0"/>
          <w:sz w:val="48"/>
          <w:szCs w:val="48"/>
        </w:rPr>
      </w:pPr>
    </w:p>
    <w:p w14:paraId="350D916B" w14:textId="77777777" w:rsidR="007B6E73" w:rsidRPr="00DE68A1" w:rsidRDefault="007B6E73" w:rsidP="007B6E73">
      <w:pPr>
        <w:bidi w:val="0"/>
        <w:jc w:val="center"/>
        <w:rPr>
          <w:b/>
          <w:bCs/>
          <w:i/>
          <w:iCs/>
          <w:color w:val="0070C0"/>
          <w:sz w:val="48"/>
          <w:szCs w:val="48"/>
        </w:rPr>
      </w:pPr>
    </w:p>
    <w:p w14:paraId="64907D6D" w14:textId="77777777" w:rsidR="007B6E73" w:rsidRPr="00DE68A1" w:rsidRDefault="007B6E73" w:rsidP="007B6E73">
      <w:pPr>
        <w:bidi w:val="0"/>
        <w:jc w:val="center"/>
        <w:rPr>
          <w:b/>
          <w:bCs/>
          <w:i/>
          <w:iCs/>
          <w:color w:val="0070C0"/>
          <w:sz w:val="48"/>
          <w:szCs w:val="48"/>
        </w:rPr>
      </w:pPr>
    </w:p>
    <w:p w14:paraId="1628AA59" w14:textId="77777777" w:rsidR="007B6E73" w:rsidRPr="00DE68A1" w:rsidRDefault="007B6E73" w:rsidP="007B6E73">
      <w:pPr>
        <w:bidi w:val="0"/>
        <w:jc w:val="center"/>
        <w:rPr>
          <w:b/>
          <w:bCs/>
          <w:i/>
          <w:iCs/>
          <w:color w:val="0070C0"/>
          <w:sz w:val="48"/>
          <w:szCs w:val="48"/>
        </w:rPr>
      </w:pPr>
    </w:p>
    <w:p w14:paraId="311BD374" w14:textId="77777777" w:rsidR="007B6E73" w:rsidRPr="00DE68A1" w:rsidRDefault="007B6E73" w:rsidP="007B6E73">
      <w:pPr>
        <w:tabs>
          <w:tab w:val="left" w:pos="3645"/>
        </w:tabs>
      </w:pPr>
      <w:r w:rsidRPr="00DE68A1">
        <w:rPr>
          <w:rtl/>
        </w:rPr>
        <w:tab/>
      </w:r>
    </w:p>
    <w:p w14:paraId="138BC8AF" w14:textId="77777777" w:rsidR="00724CC3" w:rsidRPr="00DE68A1" w:rsidRDefault="00724CC3" w:rsidP="00BB6FE2">
      <w:pPr>
        <w:jc w:val="right"/>
      </w:pPr>
      <w:r w:rsidRPr="00DE68A1">
        <w:t>Bhaskar Majumdar</w:t>
      </w:r>
    </w:p>
    <w:p w14:paraId="749E963F" w14:textId="77777777" w:rsidR="00724CC3" w:rsidRPr="00DE68A1" w:rsidRDefault="00724CC3" w:rsidP="00BB6FE2">
      <w:pPr>
        <w:jc w:val="right"/>
      </w:pPr>
      <w:r w:rsidRPr="00DE68A1">
        <w:t>Chief Risk Officer</w:t>
      </w:r>
    </w:p>
    <w:p w14:paraId="02F6E354" w14:textId="77777777" w:rsidR="00724CC3" w:rsidRPr="00DE68A1" w:rsidRDefault="00724CC3" w:rsidP="00BB6FE2">
      <w:pPr>
        <w:jc w:val="right"/>
      </w:pPr>
      <w:r w:rsidRPr="00DE68A1">
        <w:t>Risk Management</w:t>
      </w:r>
      <w:r w:rsidR="00481019" w:rsidRPr="00DE68A1">
        <w:t xml:space="preserve"> Department</w:t>
      </w:r>
    </w:p>
    <w:p w14:paraId="547BCB7B" w14:textId="77777777" w:rsidR="00481019" w:rsidRPr="00DE68A1" w:rsidRDefault="00481019" w:rsidP="00BB6FE2">
      <w:pPr>
        <w:jc w:val="right"/>
      </w:pPr>
      <w:r w:rsidRPr="00DE68A1">
        <w:t>The Industrial Bank of Kuwait</w:t>
      </w:r>
    </w:p>
    <w:p w14:paraId="75E6C53E" w14:textId="40308E3B" w:rsidR="00DD60EF" w:rsidRPr="00DE68A1" w:rsidRDefault="003A15C7" w:rsidP="00641E47">
      <w:pPr>
        <w:pBdr>
          <w:bottom w:val="single" w:sz="6" w:space="1" w:color="auto"/>
        </w:pBdr>
        <w:bidi w:val="0"/>
        <w:rPr>
          <w:b/>
          <w:bCs/>
          <w:i/>
          <w:iCs/>
          <w:color w:val="0070C0"/>
        </w:rPr>
      </w:pPr>
      <w:r w:rsidRPr="00DE68A1">
        <w:rPr>
          <w:b/>
          <w:bCs/>
          <w:i/>
          <w:iCs/>
          <w:color w:val="0070C0"/>
        </w:rPr>
        <w:lastRenderedPageBreak/>
        <w:t>The Industrial Bank of Kuwait</w:t>
      </w:r>
      <w:r w:rsidR="000C1C73" w:rsidRPr="00DE68A1">
        <w:rPr>
          <w:b/>
          <w:bCs/>
          <w:i/>
          <w:iCs/>
          <w:color w:val="0070C0"/>
        </w:rPr>
        <w:tab/>
      </w:r>
      <w:r w:rsidR="000C1C73" w:rsidRPr="00DE68A1">
        <w:rPr>
          <w:b/>
          <w:bCs/>
          <w:i/>
          <w:iCs/>
          <w:color w:val="0070C0"/>
        </w:rPr>
        <w:tab/>
      </w:r>
      <w:r w:rsidR="000C1C73" w:rsidRPr="00DE68A1">
        <w:rPr>
          <w:b/>
          <w:bCs/>
          <w:i/>
          <w:iCs/>
          <w:color w:val="0070C0"/>
        </w:rPr>
        <w:tab/>
        <w:t xml:space="preserve"> </w:t>
      </w:r>
      <w:r w:rsidR="00481019" w:rsidRPr="00DE68A1">
        <w:rPr>
          <w:b/>
          <w:bCs/>
          <w:i/>
          <w:iCs/>
          <w:color w:val="0070C0"/>
        </w:rPr>
        <w:t xml:space="preserve">                   </w:t>
      </w:r>
      <w:r w:rsidR="00D0450C" w:rsidRPr="00DE68A1">
        <w:rPr>
          <w:b/>
          <w:bCs/>
          <w:i/>
          <w:iCs/>
          <w:color w:val="0070C0"/>
        </w:rPr>
        <w:t xml:space="preserve">Regulatory </w:t>
      </w:r>
      <w:r w:rsidR="000C1C73" w:rsidRPr="00DE68A1">
        <w:rPr>
          <w:b/>
          <w:bCs/>
          <w:i/>
          <w:iCs/>
          <w:color w:val="0070C0"/>
        </w:rPr>
        <w:t>Report</w:t>
      </w:r>
      <w:r w:rsidR="00D0450C" w:rsidRPr="00DE68A1">
        <w:rPr>
          <w:b/>
          <w:bCs/>
          <w:i/>
          <w:iCs/>
          <w:color w:val="0070C0"/>
        </w:rPr>
        <w:t>ing</w:t>
      </w:r>
      <w:r w:rsidR="000C1C73" w:rsidRPr="00DE68A1">
        <w:rPr>
          <w:b/>
          <w:bCs/>
          <w:i/>
          <w:iCs/>
          <w:color w:val="0070C0"/>
        </w:rPr>
        <w:t xml:space="preserve"> </w:t>
      </w:r>
      <w:r w:rsidR="00E01875" w:rsidRPr="00DE68A1">
        <w:rPr>
          <w:b/>
          <w:bCs/>
          <w:i/>
          <w:iCs/>
          <w:color w:val="0070C0"/>
        </w:rPr>
        <w:t>202</w:t>
      </w:r>
      <w:r w:rsidR="00072896" w:rsidRPr="00DE68A1">
        <w:rPr>
          <w:b/>
          <w:bCs/>
          <w:i/>
          <w:iCs/>
          <w:color w:val="0070C0"/>
        </w:rPr>
        <w:t>5</w:t>
      </w:r>
      <w:r w:rsidRPr="00DE68A1">
        <w:rPr>
          <w:b/>
          <w:bCs/>
          <w:i/>
          <w:iCs/>
          <w:color w:val="0070C0"/>
        </w:rPr>
        <w:tab/>
        <w:t xml:space="preserve">       </w:t>
      </w:r>
    </w:p>
    <w:p w14:paraId="3129D429" w14:textId="77777777" w:rsidR="00DD60EF" w:rsidRPr="00DE68A1" w:rsidRDefault="00DD60EF" w:rsidP="00DD60EF">
      <w:pPr>
        <w:pBdr>
          <w:bottom w:val="single" w:sz="6" w:space="1" w:color="auto"/>
        </w:pBdr>
        <w:bidi w:val="0"/>
        <w:rPr>
          <w:b/>
          <w:bCs/>
          <w:i/>
          <w:iCs/>
          <w:color w:val="0070C0"/>
        </w:rPr>
      </w:pPr>
    </w:p>
    <w:p w14:paraId="2CBCED75" w14:textId="19CA56A2" w:rsidR="00E11655" w:rsidRPr="00DE68A1" w:rsidRDefault="000C1C73" w:rsidP="00F86A3E">
      <w:pPr>
        <w:pBdr>
          <w:bottom w:val="single" w:sz="6" w:space="1" w:color="auto"/>
        </w:pBdr>
        <w:bidi w:val="0"/>
        <w:rPr>
          <w:b/>
          <w:bCs/>
          <w:i/>
          <w:iCs/>
          <w:sz w:val="28"/>
          <w:szCs w:val="28"/>
        </w:rPr>
      </w:pPr>
      <w:r w:rsidRPr="00DE68A1">
        <w:rPr>
          <w:b/>
          <w:bCs/>
          <w:i/>
          <w:iCs/>
          <w:sz w:val="28"/>
          <w:szCs w:val="28"/>
        </w:rPr>
        <w:t xml:space="preserve">Risk </w:t>
      </w:r>
      <w:r w:rsidR="00083C91" w:rsidRPr="00DE68A1">
        <w:rPr>
          <w:b/>
          <w:bCs/>
          <w:i/>
          <w:iCs/>
          <w:sz w:val="28"/>
          <w:szCs w:val="28"/>
        </w:rPr>
        <w:t>Management Disclosures</w:t>
      </w:r>
      <w:r w:rsidR="003A15C7" w:rsidRPr="00DE68A1">
        <w:rPr>
          <w:b/>
          <w:bCs/>
          <w:i/>
          <w:iCs/>
          <w:sz w:val="28"/>
          <w:szCs w:val="28"/>
        </w:rPr>
        <w:t xml:space="preserve"> </w:t>
      </w:r>
      <w:r w:rsidR="008C1FC9" w:rsidRPr="00DE68A1">
        <w:rPr>
          <w:b/>
          <w:bCs/>
          <w:i/>
          <w:iCs/>
          <w:sz w:val="28"/>
          <w:szCs w:val="28"/>
        </w:rPr>
        <w:t>per</w:t>
      </w:r>
      <w:r w:rsidR="003A15C7" w:rsidRPr="00DE68A1">
        <w:rPr>
          <w:b/>
          <w:bCs/>
          <w:i/>
          <w:iCs/>
          <w:sz w:val="28"/>
          <w:szCs w:val="28"/>
        </w:rPr>
        <w:t xml:space="preserve"> Basel </w:t>
      </w:r>
      <w:r w:rsidR="00010B2B" w:rsidRPr="00DE68A1">
        <w:rPr>
          <w:b/>
          <w:bCs/>
          <w:i/>
          <w:iCs/>
          <w:sz w:val="28"/>
          <w:szCs w:val="28"/>
        </w:rPr>
        <w:t>III</w:t>
      </w:r>
      <w:r w:rsidR="003A15C7" w:rsidRPr="00DE68A1">
        <w:rPr>
          <w:b/>
          <w:bCs/>
          <w:i/>
          <w:iCs/>
          <w:sz w:val="28"/>
          <w:szCs w:val="28"/>
        </w:rPr>
        <w:t xml:space="preserve"> Pillar III</w:t>
      </w:r>
      <w:r w:rsidR="00EB4F6F" w:rsidRPr="00DE68A1">
        <w:rPr>
          <w:b/>
          <w:bCs/>
          <w:i/>
          <w:iCs/>
          <w:sz w:val="28"/>
          <w:szCs w:val="28"/>
        </w:rPr>
        <w:t xml:space="preserve"> </w:t>
      </w:r>
      <w:r w:rsidR="008C1FC9" w:rsidRPr="00DE68A1">
        <w:rPr>
          <w:b/>
          <w:bCs/>
          <w:i/>
          <w:iCs/>
          <w:sz w:val="28"/>
          <w:szCs w:val="28"/>
        </w:rPr>
        <w:t>-</w:t>
      </w:r>
      <w:r w:rsidR="00EB4F6F" w:rsidRPr="00DE68A1">
        <w:rPr>
          <w:b/>
          <w:bCs/>
          <w:i/>
          <w:iCs/>
          <w:sz w:val="28"/>
          <w:szCs w:val="28"/>
        </w:rPr>
        <w:t xml:space="preserve"> </w:t>
      </w:r>
      <w:r w:rsidR="008C1FC9" w:rsidRPr="00DE68A1">
        <w:rPr>
          <w:b/>
          <w:bCs/>
          <w:i/>
          <w:iCs/>
          <w:sz w:val="28"/>
          <w:szCs w:val="28"/>
        </w:rPr>
        <w:t>31.12.</w:t>
      </w:r>
      <w:r w:rsidR="00E01875" w:rsidRPr="00DE68A1">
        <w:rPr>
          <w:b/>
          <w:bCs/>
          <w:i/>
          <w:iCs/>
          <w:sz w:val="28"/>
          <w:szCs w:val="28"/>
        </w:rPr>
        <w:t>20</w:t>
      </w:r>
      <w:r w:rsidR="00AF0724" w:rsidRPr="00DE68A1">
        <w:rPr>
          <w:b/>
          <w:bCs/>
          <w:i/>
          <w:iCs/>
          <w:sz w:val="28"/>
          <w:szCs w:val="28"/>
        </w:rPr>
        <w:t>2</w:t>
      </w:r>
      <w:r w:rsidR="003717D3" w:rsidRPr="00DE68A1">
        <w:rPr>
          <w:b/>
          <w:bCs/>
          <w:i/>
          <w:iCs/>
          <w:sz w:val="28"/>
          <w:szCs w:val="28"/>
        </w:rPr>
        <w:t>5</w:t>
      </w:r>
    </w:p>
    <w:p w14:paraId="66EE5CB2" w14:textId="77777777" w:rsidR="00581BC6" w:rsidRPr="00DE68A1" w:rsidRDefault="00581BC6" w:rsidP="00581BC6">
      <w:pPr>
        <w:bidi w:val="0"/>
        <w:rPr>
          <w:b/>
          <w:bCs/>
          <w:color w:val="FF0000"/>
        </w:rPr>
      </w:pPr>
    </w:p>
    <w:p w14:paraId="61670588" w14:textId="77777777" w:rsidR="00581BC6" w:rsidRPr="00DE68A1" w:rsidRDefault="00581BC6" w:rsidP="007B6E87">
      <w:pPr>
        <w:bidi w:val="0"/>
        <w:rPr>
          <w:b/>
          <w:bCs/>
        </w:rPr>
      </w:pPr>
      <w:r w:rsidRPr="00DE68A1">
        <w:rPr>
          <w:b/>
          <w:bCs/>
        </w:rPr>
        <w:t>Risk Management</w:t>
      </w:r>
      <w:r w:rsidR="00D50D33" w:rsidRPr="00DE68A1">
        <w:rPr>
          <w:b/>
          <w:bCs/>
        </w:rPr>
        <w:t xml:space="preserve"> Objectives</w:t>
      </w:r>
      <w:r w:rsidRPr="00DE68A1">
        <w:rPr>
          <w:b/>
          <w:bCs/>
        </w:rPr>
        <w:t>:</w:t>
      </w:r>
    </w:p>
    <w:p w14:paraId="484C2FB0" w14:textId="77777777" w:rsidR="000C1C73" w:rsidRPr="00DE68A1" w:rsidRDefault="000C1C73" w:rsidP="000C1C73">
      <w:pPr>
        <w:bidi w:val="0"/>
        <w:rPr>
          <w:b/>
          <w:bCs/>
        </w:rPr>
      </w:pPr>
    </w:p>
    <w:p w14:paraId="1F9111F0" w14:textId="77777777" w:rsidR="00480CE4" w:rsidRPr="00DE68A1" w:rsidRDefault="00480CE4" w:rsidP="00480CE4">
      <w:pPr>
        <w:bidi w:val="0"/>
        <w:spacing w:after="200" w:line="276" w:lineRule="auto"/>
        <w:jc w:val="both"/>
        <w:rPr>
          <w:rFonts w:eastAsia="Calibri"/>
        </w:rPr>
      </w:pPr>
      <w:r w:rsidRPr="00DE68A1">
        <w:rPr>
          <w:rFonts w:eastAsia="Calibri"/>
        </w:rPr>
        <w:t>The Industrial Bank of Kuwait has clear risk management objectives and a well-established strategy to deliver them through core risk management processes under the guidelines of the Central Bank of Kuwait. The Risk Management Department’s objectives, in coordination with business lines, are:</w:t>
      </w:r>
    </w:p>
    <w:p w14:paraId="1B69E826" w14:textId="77777777" w:rsidR="00480CE4" w:rsidRPr="00DE68A1" w:rsidRDefault="00480CE4" w:rsidP="00480CE4">
      <w:pPr>
        <w:pStyle w:val="ListParagraph"/>
        <w:numPr>
          <w:ilvl w:val="0"/>
          <w:numId w:val="33"/>
        </w:numPr>
        <w:bidi w:val="0"/>
        <w:spacing w:line="276" w:lineRule="auto"/>
        <w:jc w:val="both"/>
        <w:rPr>
          <w:rFonts w:eastAsia="Calibri"/>
        </w:rPr>
      </w:pPr>
      <w:r w:rsidRPr="00DE68A1">
        <w:rPr>
          <w:rFonts w:eastAsia="Calibri"/>
        </w:rPr>
        <w:t>To identify the Bank’s material risks, financial and non-financial.</w:t>
      </w:r>
    </w:p>
    <w:p w14:paraId="48FBC9FA" w14:textId="77777777" w:rsidR="00480CE4" w:rsidRPr="00DE68A1" w:rsidRDefault="00480CE4" w:rsidP="00480CE4">
      <w:pPr>
        <w:pStyle w:val="ListParagraph"/>
        <w:numPr>
          <w:ilvl w:val="0"/>
          <w:numId w:val="33"/>
        </w:numPr>
        <w:bidi w:val="0"/>
        <w:spacing w:line="276" w:lineRule="auto"/>
        <w:jc w:val="both"/>
        <w:rPr>
          <w:rFonts w:eastAsia="Calibri"/>
        </w:rPr>
      </w:pPr>
      <w:r w:rsidRPr="00DE68A1">
        <w:rPr>
          <w:rFonts w:eastAsia="Calibri"/>
        </w:rPr>
        <w:t>To formulate the Bank’s risk appetite and ensure that business profile and plans are consistent with it.</w:t>
      </w:r>
    </w:p>
    <w:p w14:paraId="7E80634B" w14:textId="77777777" w:rsidR="00480CE4" w:rsidRPr="00DE68A1" w:rsidRDefault="00480CE4" w:rsidP="00480CE4">
      <w:pPr>
        <w:pStyle w:val="ListParagraph"/>
        <w:numPr>
          <w:ilvl w:val="0"/>
          <w:numId w:val="33"/>
        </w:numPr>
        <w:bidi w:val="0"/>
        <w:spacing w:line="276" w:lineRule="auto"/>
        <w:jc w:val="both"/>
        <w:rPr>
          <w:rFonts w:eastAsia="Calibri"/>
        </w:rPr>
      </w:pPr>
      <w:r w:rsidRPr="00DE68A1">
        <w:rPr>
          <w:rFonts w:eastAsia="Calibri"/>
        </w:rPr>
        <w:t>To optimize risk/return decisions by dialogue with business, while establishing a strong and independent review process and structure.</w:t>
      </w:r>
    </w:p>
    <w:p w14:paraId="1E6E2E88" w14:textId="77777777" w:rsidR="00480CE4" w:rsidRPr="00DE68A1" w:rsidRDefault="00480CE4" w:rsidP="00480CE4">
      <w:pPr>
        <w:pStyle w:val="ListParagraph"/>
        <w:numPr>
          <w:ilvl w:val="0"/>
          <w:numId w:val="33"/>
        </w:numPr>
        <w:bidi w:val="0"/>
        <w:spacing w:line="276" w:lineRule="auto"/>
        <w:jc w:val="both"/>
        <w:rPr>
          <w:rFonts w:eastAsia="Calibri"/>
        </w:rPr>
      </w:pPr>
      <w:r w:rsidRPr="00DE68A1">
        <w:rPr>
          <w:rFonts w:eastAsia="Calibri"/>
        </w:rPr>
        <w:t>To adhere to regulatory guidelines relating to risk management.</w:t>
      </w:r>
    </w:p>
    <w:p w14:paraId="03FBDBAB" w14:textId="0BE47B28" w:rsidR="00480CE4" w:rsidRPr="00DE68A1" w:rsidRDefault="00480CE4" w:rsidP="00480CE4">
      <w:pPr>
        <w:pStyle w:val="ListParagraph"/>
        <w:numPr>
          <w:ilvl w:val="0"/>
          <w:numId w:val="33"/>
        </w:numPr>
        <w:bidi w:val="0"/>
        <w:spacing w:line="276" w:lineRule="auto"/>
        <w:jc w:val="both"/>
        <w:rPr>
          <w:rFonts w:eastAsia="Calibri"/>
        </w:rPr>
      </w:pPr>
      <w:r w:rsidRPr="00DE68A1">
        <w:rPr>
          <w:rFonts w:eastAsia="Calibri"/>
        </w:rPr>
        <w:t>To ensure business growth</w:t>
      </w:r>
      <w:r w:rsidR="00C31FDC" w:rsidRPr="00DE68A1">
        <w:rPr>
          <w:rFonts w:eastAsia="Calibri"/>
        </w:rPr>
        <w:t>,</w:t>
      </w:r>
      <w:r w:rsidRPr="00DE68A1">
        <w:rPr>
          <w:rFonts w:eastAsia="Calibri"/>
        </w:rPr>
        <w:t xml:space="preserve"> </w:t>
      </w:r>
      <w:r w:rsidR="00E01875" w:rsidRPr="00DE68A1">
        <w:rPr>
          <w:rFonts w:eastAsia="Calibri"/>
        </w:rPr>
        <w:t xml:space="preserve">new initiatives </w:t>
      </w:r>
      <w:r w:rsidRPr="00DE68A1">
        <w:rPr>
          <w:rFonts w:eastAsia="Calibri"/>
        </w:rPr>
        <w:t>and strategic plans are properly supported by effective risk assessment.</w:t>
      </w:r>
    </w:p>
    <w:p w14:paraId="7026F4CD" w14:textId="77777777" w:rsidR="00480CE4" w:rsidRPr="00DE68A1" w:rsidRDefault="00480CE4" w:rsidP="00480CE4">
      <w:pPr>
        <w:pStyle w:val="ListParagraph"/>
        <w:numPr>
          <w:ilvl w:val="0"/>
          <w:numId w:val="33"/>
        </w:numPr>
        <w:bidi w:val="0"/>
        <w:spacing w:line="276" w:lineRule="auto"/>
        <w:jc w:val="both"/>
        <w:rPr>
          <w:rFonts w:eastAsia="Calibri"/>
        </w:rPr>
      </w:pPr>
      <w:r w:rsidRPr="00DE68A1">
        <w:rPr>
          <w:rFonts w:eastAsia="Calibri"/>
        </w:rPr>
        <w:t>To monitor risk profile to ensure that specific financial deliverables remain possible under a range of adverse business conditions.</w:t>
      </w:r>
    </w:p>
    <w:p w14:paraId="218A59D4" w14:textId="77777777" w:rsidR="00480CE4" w:rsidRPr="00DE68A1" w:rsidRDefault="00480CE4" w:rsidP="00480CE4">
      <w:pPr>
        <w:pStyle w:val="ListParagraph"/>
        <w:numPr>
          <w:ilvl w:val="0"/>
          <w:numId w:val="33"/>
        </w:numPr>
        <w:bidi w:val="0"/>
        <w:spacing w:line="276" w:lineRule="auto"/>
        <w:jc w:val="both"/>
        <w:rPr>
          <w:rFonts w:eastAsia="Calibri"/>
        </w:rPr>
      </w:pPr>
      <w:r w:rsidRPr="00DE68A1">
        <w:rPr>
          <w:rFonts w:eastAsia="Calibri"/>
        </w:rPr>
        <w:t xml:space="preserve">To assist business and support functions improve the control and co-ordination of risk taking across the Bank and transfer through insurance risks that cannot be managed internally.  </w:t>
      </w:r>
    </w:p>
    <w:p w14:paraId="53A4EF82" w14:textId="77777777" w:rsidR="00480CE4" w:rsidRPr="00DE68A1" w:rsidRDefault="00480CE4" w:rsidP="00480CE4">
      <w:pPr>
        <w:pStyle w:val="ListParagraph"/>
        <w:numPr>
          <w:ilvl w:val="0"/>
          <w:numId w:val="33"/>
        </w:numPr>
        <w:bidi w:val="0"/>
        <w:spacing w:line="276" w:lineRule="auto"/>
        <w:jc w:val="both"/>
        <w:rPr>
          <w:rFonts w:eastAsia="Calibri"/>
        </w:rPr>
      </w:pPr>
      <w:r w:rsidRPr="00DE68A1">
        <w:rPr>
          <w:rFonts w:eastAsia="Calibri"/>
        </w:rPr>
        <w:t>To manage information security and cyber risks</w:t>
      </w:r>
    </w:p>
    <w:p w14:paraId="798531BA" w14:textId="0FD0807A" w:rsidR="00480CE4" w:rsidRPr="00DE68A1" w:rsidRDefault="00480CE4" w:rsidP="00480CE4">
      <w:pPr>
        <w:pStyle w:val="ListParagraph"/>
        <w:numPr>
          <w:ilvl w:val="0"/>
          <w:numId w:val="33"/>
        </w:numPr>
        <w:bidi w:val="0"/>
        <w:spacing w:line="276" w:lineRule="auto"/>
        <w:jc w:val="both"/>
        <w:rPr>
          <w:rFonts w:eastAsia="Calibri"/>
        </w:rPr>
      </w:pPr>
      <w:r w:rsidRPr="00DE68A1">
        <w:rPr>
          <w:rFonts w:eastAsia="Calibri"/>
        </w:rPr>
        <w:t>To promote a culture of risk awareness throughout the organization.</w:t>
      </w:r>
    </w:p>
    <w:p w14:paraId="4CDD86BC" w14:textId="77777777" w:rsidR="00480CE4" w:rsidRPr="00DE68A1" w:rsidRDefault="00480CE4" w:rsidP="00480CE4">
      <w:pPr>
        <w:pStyle w:val="ListParagraph"/>
        <w:bidi w:val="0"/>
        <w:spacing w:line="276" w:lineRule="auto"/>
        <w:jc w:val="both"/>
        <w:rPr>
          <w:rFonts w:eastAsia="Calibri"/>
        </w:rPr>
      </w:pPr>
    </w:p>
    <w:p w14:paraId="0D1924BB" w14:textId="77777777" w:rsidR="000C1C73" w:rsidRPr="00DE68A1" w:rsidRDefault="00D50D33" w:rsidP="00083C91">
      <w:pPr>
        <w:bidi w:val="0"/>
        <w:rPr>
          <w:b/>
          <w:bCs/>
        </w:rPr>
      </w:pPr>
      <w:r w:rsidRPr="00DE68A1">
        <w:rPr>
          <w:b/>
          <w:bCs/>
        </w:rPr>
        <w:t>Risk Management Structure:</w:t>
      </w:r>
    </w:p>
    <w:p w14:paraId="18A2D042" w14:textId="77777777" w:rsidR="00D50D33" w:rsidRPr="00DE68A1" w:rsidRDefault="00D50D33" w:rsidP="00D50D33">
      <w:pPr>
        <w:bidi w:val="0"/>
        <w:jc w:val="both"/>
      </w:pPr>
    </w:p>
    <w:p w14:paraId="6E54F7CB" w14:textId="77777777" w:rsidR="00A372BC" w:rsidRDefault="00102667" w:rsidP="00A372BC">
      <w:pPr>
        <w:bidi w:val="0"/>
        <w:spacing w:after="200" w:line="276" w:lineRule="auto"/>
        <w:jc w:val="both"/>
        <w:rPr>
          <w:rFonts w:eastAsia="Calibri"/>
        </w:rPr>
      </w:pPr>
      <w:r w:rsidRPr="00DE68A1">
        <w:rPr>
          <w:rFonts w:eastAsia="Calibri"/>
        </w:rPr>
        <w:t>The r</w:t>
      </w:r>
      <w:r w:rsidR="00D50D33" w:rsidRPr="00DE68A1">
        <w:rPr>
          <w:rFonts w:eastAsia="Calibri"/>
        </w:rPr>
        <w:t xml:space="preserve">esponsibility for risk management resides at all levels within the Bank, from the Board and the </w:t>
      </w:r>
      <w:r w:rsidR="00473774" w:rsidRPr="00DE68A1">
        <w:rPr>
          <w:rFonts w:eastAsia="Calibri"/>
        </w:rPr>
        <w:t>e</w:t>
      </w:r>
      <w:r w:rsidR="00D50D33" w:rsidRPr="00DE68A1">
        <w:rPr>
          <w:rFonts w:eastAsia="Calibri"/>
        </w:rPr>
        <w:t>xecutive level down through the organization to each business manager and risk specialist</w:t>
      </w:r>
      <w:r w:rsidR="00291AFB" w:rsidRPr="00DE68A1">
        <w:rPr>
          <w:rFonts w:eastAsia="Calibri"/>
        </w:rPr>
        <w:t xml:space="preserve"> documented in detail through policies and procedures and available to all staff through an online shared system</w:t>
      </w:r>
      <w:r w:rsidR="00D50D33" w:rsidRPr="00DE68A1">
        <w:rPr>
          <w:rFonts w:eastAsia="Calibri"/>
        </w:rPr>
        <w:t xml:space="preserve">. </w:t>
      </w:r>
      <w:r w:rsidR="005E50C9" w:rsidRPr="00DE68A1">
        <w:rPr>
          <w:rFonts w:eastAsia="Calibri"/>
        </w:rPr>
        <w:t xml:space="preserve">In a </w:t>
      </w:r>
      <w:r w:rsidR="00F1055C" w:rsidRPr="00DE68A1">
        <w:rPr>
          <w:rFonts w:eastAsia="Calibri"/>
        </w:rPr>
        <w:t>three-</w:t>
      </w:r>
      <w:r w:rsidR="008D774B" w:rsidRPr="00DE68A1">
        <w:rPr>
          <w:rFonts w:eastAsia="Calibri"/>
        </w:rPr>
        <w:t>e</w:t>
      </w:r>
      <w:r w:rsidR="005E50C9" w:rsidRPr="00DE68A1">
        <w:rPr>
          <w:rFonts w:eastAsia="Calibri"/>
        </w:rPr>
        <w:t>ye approach, t</w:t>
      </w:r>
      <w:r w:rsidR="00D50D33" w:rsidRPr="00DE68A1">
        <w:rPr>
          <w:rFonts w:eastAsia="Calibri"/>
        </w:rPr>
        <w:t>h</w:t>
      </w:r>
      <w:r w:rsidR="00E01875" w:rsidRPr="00DE68A1">
        <w:rPr>
          <w:rFonts w:eastAsia="Calibri"/>
        </w:rPr>
        <w:t>e</w:t>
      </w:r>
      <w:r w:rsidR="00D50D33" w:rsidRPr="00DE68A1">
        <w:rPr>
          <w:rFonts w:eastAsia="Calibri"/>
        </w:rPr>
        <w:t xml:space="preserve"> responsibilities for effective review and challenge reside with managers</w:t>
      </w:r>
      <w:r w:rsidRPr="00DE68A1">
        <w:rPr>
          <w:rFonts w:eastAsia="Calibri"/>
        </w:rPr>
        <w:t xml:space="preserve"> of departments as the primary risk holders</w:t>
      </w:r>
      <w:r w:rsidR="00D50D33" w:rsidRPr="00DE68A1">
        <w:rPr>
          <w:rFonts w:eastAsia="Calibri"/>
        </w:rPr>
        <w:t xml:space="preserve">, an independent risk management </w:t>
      </w:r>
      <w:r w:rsidR="008D774B" w:rsidRPr="00DE68A1">
        <w:rPr>
          <w:rFonts w:eastAsia="Calibri"/>
        </w:rPr>
        <w:t>department</w:t>
      </w:r>
      <w:r w:rsidR="005E50C9" w:rsidRPr="00DE68A1">
        <w:rPr>
          <w:rFonts w:eastAsia="Calibri"/>
        </w:rPr>
        <w:t xml:space="preserve"> </w:t>
      </w:r>
      <w:r w:rsidR="00C31FDC" w:rsidRPr="00DE68A1">
        <w:rPr>
          <w:rFonts w:eastAsia="Calibri"/>
        </w:rPr>
        <w:t>and</w:t>
      </w:r>
      <w:r w:rsidR="00D50D33" w:rsidRPr="00DE68A1">
        <w:rPr>
          <w:rFonts w:eastAsia="Calibri"/>
        </w:rPr>
        <w:t xml:space="preserve"> internal audit</w:t>
      </w:r>
      <w:r w:rsidR="005E50C9" w:rsidRPr="00DE68A1">
        <w:rPr>
          <w:rFonts w:eastAsia="Calibri"/>
        </w:rPr>
        <w:t>. For effective corporate governance, the Chief Risk Officer assists</w:t>
      </w:r>
      <w:r w:rsidR="00D50D33" w:rsidRPr="00DE68A1">
        <w:rPr>
          <w:rFonts w:eastAsia="Calibri"/>
        </w:rPr>
        <w:t xml:space="preserve"> the Board Risk Committee </w:t>
      </w:r>
      <w:r w:rsidR="005E50C9" w:rsidRPr="00DE68A1">
        <w:rPr>
          <w:rFonts w:eastAsia="Calibri"/>
        </w:rPr>
        <w:t>to guide and oversee effective risk management across the Bank. Risk Management also assists the Board of Dir</w:t>
      </w:r>
      <w:r w:rsidR="003D5D9B" w:rsidRPr="00DE68A1">
        <w:rPr>
          <w:rFonts w:eastAsia="Calibri"/>
        </w:rPr>
        <w:t xml:space="preserve">ectors in tasks required by the Board </w:t>
      </w:r>
      <w:r w:rsidR="00873B35" w:rsidRPr="00DE68A1">
        <w:rPr>
          <w:rFonts w:eastAsia="Calibri"/>
        </w:rPr>
        <w:t>Committees. The</w:t>
      </w:r>
      <w:r w:rsidR="00D50D33" w:rsidRPr="00DE68A1">
        <w:rPr>
          <w:rFonts w:eastAsia="Calibri"/>
        </w:rPr>
        <w:t xml:space="preserve"> Board is responsible for approving </w:t>
      </w:r>
      <w:r w:rsidR="00473774" w:rsidRPr="00DE68A1">
        <w:rPr>
          <w:rFonts w:eastAsia="Calibri"/>
        </w:rPr>
        <w:t>r</w:t>
      </w:r>
      <w:r w:rsidR="00D50D33" w:rsidRPr="00DE68A1">
        <w:rPr>
          <w:rFonts w:eastAsia="Calibri"/>
        </w:rPr>
        <w:t xml:space="preserve">isk </w:t>
      </w:r>
      <w:r w:rsidR="00AF0724" w:rsidRPr="00DE68A1">
        <w:rPr>
          <w:rFonts w:eastAsia="Calibri"/>
        </w:rPr>
        <w:t>appetite,</w:t>
      </w:r>
      <w:r w:rsidR="00E01875" w:rsidRPr="00DE68A1">
        <w:rPr>
          <w:rFonts w:eastAsia="Calibri"/>
        </w:rPr>
        <w:t xml:space="preserve"> </w:t>
      </w:r>
      <w:r w:rsidR="00D50D33" w:rsidRPr="00DE68A1">
        <w:rPr>
          <w:rFonts w:eastAsia="Calibri"/>
        </w:rPr>
        <w:t xml:space="preserve">which is the level of risk </w:t>
      </w:r>
      <w:r w:rsidRPr="00DE68A1">
        <w:rPr>
          <w:rFonts w:eastAsia="Calibri"/>
        </w:rPr>
        <w:t xml:space="preserve">tolerance that </w:t>
      </w:r>
      <w:r w:rsidR="00D50D33" w:rsidRPr="00DE68A1">
        <w:rPr>
          <w:rFonts w:eastAsia="Calibri"/>
        </w:rPr>
        <w:t xml:space="preserve">the Bank chooses to </w:t>
      </w:r>
      <w:r w:rsidRPr="00DE68A1">
        <w:rPr>
          <w:rFonts w:eastAsia="Calibri"/>
        </w:rPr>
        <w:t xml:space="preserve">accept </w:t>
      </w:r>
      <w:r w:rsidR="00D50D33" w:rsidRPr="00DE68A1">
        <w:rPr>
          <w:rFonts w:eastAsia="Calibri"/>
        </w:rPr>
        <w:t>in pursuit of its business objectives</w:t>
      </w:r>
      <w:r w:rsidR="00E01875" w:rsidRPr="00DE68A1">
        <w:rPr>
          <w:rFonts w:eastAsia="Calibri"/>
        </w:rPr>
        <w:t xml:space="preserve"> and risk management </w:t>
      </w:r>
      <w:r w:rsidR="00C31FDC" w:rsidRPr="00DE68A1">
        <w:rPr>
          <w:rFonts w:eastAsia="Calibri"/>
        </w:rPr>
        <w:t>tracks it within tolerance levels</w:t>
      </w:r>
      <w:r w:rsidR="00D50D33" w:rsidRPr="00DE68A1">
        <w:rPr>
          <w:rFonts w:eastAsia="Calibri"/>
        </w:rPr>
        <w:t xml:space="preserve">. </w:t>
      </w:r>
      <w:r w:rsidR="003D5D9B" w:rsidRPr="00DE68A1">
        <w:rPr>
          <w:rFonts w:eastAsia="Calibri"/>
        </w:rPr>
        <w:t>The risk appetite is reviewed annually by the Board Risk Committee so that it is in synchrony with the economic environment</w:t>
      </w:r>
      <w:r w:rsidRPr="00DE68A1">
        <w:rPr>
          <w:rFonts w:eastAsia="Calibri"/>
        </w:rPr>
        <w:t xml:space="preserve"> and internal strategic objectives</w:t>
      </w:r>
      <w:r w:rsidR="003D5D9B" w:rsidRPr="00DE68A1">
        <w:rPr>
          <w:rFonts w:eastAsia="Calibri"/>
        </w:rPr>
        <w:t>.</w:t>
      </w:r>
      <w:r w:rsidR="00A372BC" w:rsidRPr="00A372BC">
        <w:rPr>
          <w:rFonts w:eastAsia="Calibri"/>
        </w:rPr>
        <w:t xml:space="preserve"> </w:t>
      </w:r>
    </w:p>
    <w:p w14:paraId="26F58CCB" w14:textId="397C3DA0" w:rsidR="00A372BC" w:rsidRPr="00DE68A1" w:rsidRDefault="00A372BC" w:rsidP="00A372BC">
      <w:pPr>
        <w:bidi w:val="0"/>
        <w:spacing w:after="200" w:line="276" w:lineRule="auto"/>
        <w:jc w:val="both"/>
        <w:rPr>
          <w:rFonts w:eastAsia="Calibri"/>
        </w:rPr>
      </w:pPr>
      <w:r w:rsidRPr="00DE68A1">
        <w:rPr>
          <w:rFonts w:eastAsia="Calibri"/>
        </w:rPr>
        <w:t xml:space="preserve">The Board is also responsible for the internal control and assurance framework. To enhance corporate governance and the management of risk, the following committees have been set up </w:t>
      </w:r>
      <w:r w:rsidRPr="00DE68A1">
        <w:rPr>
          <w:rFonts w:eastAsia="Calibri"/>
        </w:rPr>
        <w:lastRenderedPageBreak/>
        <w:t xml:space="preserve">to perform specific roles - the Board Audit Committee, the Board Risk Committee, the Board Nomination and Remuneration Committee and the Board Governance Committee.  </w:t>
      </w:r>
    </w:p>
    <w:p w14:paraId="35270F27" w14:textId="77777777" w:rsidR="00A372BC" w:rsidRPr="00DE68A1" w:rsidRDefault="00A372BC" w:rsidP="00A372BC">
      <w:pPr>
        <w:bidi w:val="0"/>
        <w:spacing w:after="200" w:line="276" w:lineRule="auto"/>
        <w:jc w:val="both"/>
        <w:rPr>
          <w:rFonts w:eastAsia="Calibri"/>
        </w:rPr>
      </w:pPr>
      <w:r w:rsidRPr="00DE68A1">
        <w:rPr>
          <w:rFonts w:eastAsia="Calibri"/>
        </w:rPr>
        <w:t>Internal Audit is responsible for the independent review of the effectiveness of risk management and the internal control environment in the bank. Its objective is to provide reliable, valued and timely assurance to the Board and Executive Management over the effectiveness of independently, mitigating current and evolving high risks and enhancing the control culture within the Bank. The compliance and strategic planning functions report to its Board Governance Committee.</w:t>
      </w:r>
    </w:p>
    <w:p w14:paraId="367D28FB" w14:textId="77777777" w:rsidR="00A372BC" w:rsidRPr="00DE68A1" w:rsidRDefault="00A372BC" w:rsidP="00A372BC">
      <w:pPr>
        <w:bidi w:val="0"/>
        <w:spacing w:after="200" w:line="276" w:lineRule="auto"/>
        <w:jc w:val="both"/>
        <w:rPr>
          <w:rFonts w:eastAsia="Calibri"/>
        </w:rPr>
      </w:pPr>
      <w:r w:rsidRPr="00DE68A1">
        <w:rPr>
          <w:rFonts w:eastAsia="Calibri"/>
        </w:rPr>
        <w:t>The Board Risk Committee monitors through the risk management department, the Bank’s risk profile against the risk appetite documented quantitatively and qualitatively in the risk appetite policy, providing benchmarks for high-level oversight and supervision of the management of risks. The Risk Committee reviews the constituents of the detailed risk appetite statement annually. Where actual performance differs from expectations, the actions being taken by management are reviewed to ensure that the Committee is comfortable with them. The Committee receives regular and comprehensive reports on the Bank</w:t>
      </w:r>
      <w:r w:rsidRPr="00DE68A1">
        <w:rPr>
          <w:rFonts w:eastAsia="Calibri" w:hint="cs"/>
        </w:rPr>
        <w:t>’</w:t>
      </w:r>
      <w:r w:rsidRPr="00DE68A1">
        <w:rPr>
          <w:rFonts w:eastAsia="Calibri"/>
        </w:rPr>
        <w:t xml:space="preserve">s risk profile, an assessment of all risk factors, key issues affecting each business portfolio, risk measurement methodologies and future risk trends. The Board Risk Committee ensures that appropriate policies and procedures exist to manage risks in a professional and proactive manner, reviewing the independence and integrity of the Bank’s risk management department and assessing business and strategic risks within established risk management policies and procedures. </w:t>
      </w:r>
    </w:p>
    <w:p w14:paraId="7A99E88A" w14:textId="77777777" w:rsidR="00A372BC" w:rsidRPr="00DE68A1" w:rsidRDefault="00A372BC" w:rsidP="00A372BC">
      <w:pPr>
        <w:bidi w:val="0"/>
        <w:spacing w:after="200" w:line="276" w:lineRule="auto"/>
        <w:jc w:val="both"/>
        <w:rPr>
          <w:rFonts w:eastAsia="Calibri"/>
        </w:rPr>
      </w:pPr>
      <w:r w:rsidRPr="00DE68A1">
        <w:rPr>
          <w:rFonts w:eastAsia="Calibri"/>
        </w:rPr>
        <w:t>The Chief Risk Officer reports directly to the Chairman of the Board Risk Committee. The risk management department is responsible for independently assessing and managing credit risks, market risks, liquidity risks, and all types of non-financial risks. While primary risks are managed by line managers, the risk management department provides a structured and independent assessment of credit, liquidity, market and all types of operational risks by proactively working with line management in identifying, documenting, quantifying, tracking and monitoring Key Risk Indicators and providing solutions whenever KRI’s tend to go beyond acceptable levels. It facilitates implementation of risk initiatives and continuously tracks portfolio risks as well as individual credit, investment, new projects and product proposals. It ensures that risks are categorized into groups of low, medium and high risks and that significant risks that are outliers in the boundary provided by the risk appetite policy and those that have potential operational loss impacts, are highlighted, reported and mitigated.</w:t>
      </w:r>
    </w:p>
    <w:p w14:paraId="7D7B01A5" w14:textId="77777777" w:rsidR="00A372BC" w:rsidRPr="00DE68A1" w:rsidRDefault="00A372BC" w:rsidP="00A372BC">
      <w:pPr>
        <w:bidi w:val="0"/>
        <w:spacing w:after="200" w:line="276" w:lineRule="auto"/>
        <w:jc w:val="both"/>
        <w:rPr>
          <w:rFonts w:eastAsia="Calibri"/>
        </w:rPr>
      </w:pPr>
      <w:r w:rsidRPr="00DE68A1">
        <w:rPr>
          <w:rFonts w:eastAsia="Calibri"/>
        </w:rPr>
        <w:t>In the collaborative spirit of risk accountability, there are specific committees set up to monitor specific areas of risk. There is an Assets and Liabilities Management Committee (ALCO) that monitors liquidity risks, investment risks and asset projections, in which the CRO participates as an active member. The Credit Committee and Provisions Committees deal with commercial banking and project finance proposals and impairment and provisions issues. Risk management coordinates the Bank’s business continuity plans and off-site disaster recovery activities</w:t>
      </w:r>
    </w:p>
    <w:p w14:paraId="391C41E7" w14:textId="72FB1F88" w:rsidR="00D50D33" w:rsidRPr="00DE68A1" w:rsidRDefault="00D50D33" w:rsidP="00F1055C">
      <w:pPr>
        <w:bidi w:val="0"/>
        <w:spacing w:after="200" w:line="276" w:lineRule="auto"/>
        <w:jc w:val="both"/>
        <w:rPr>
          <w:rFonts w:eastAsia="Calibri"/>
        </w:rPr>
      </w:pPr>
    </w:p>
    <w:p w14:paraId="449E9095" w14:textId="77777777" w:rsidR="000C31CB" w:rsidRPr="00DE68A1" w:rsidRDefault="000C31CB" w:rsidP="000C31CB">
      <w:pPr>
        <w:bidi w:val="0"/>
        <w:spacing w:after="200" w:line="276" w:lineRule="auto"/>
        <w:jc w:val="both"/>
        <w:rPr>
          <w:rFonts w:eastAsia="Calibri"/>
        </w:rPr>
      </w:pPr>
    </w:p>
    <w:p w14:paraId="586BA1E8" w14:textId="77777777" w:rsidR="000C31CB" w:rsidRPr="00DE68A1" w:rsidRDefault="000C31CB" w:rsidP="000C31CB">
      <w:pPr>
        <w:bidi w:val="0"/>
        <w:rPr>
          <w:b/>
          <w:bCs/>
        </w:rPr>
      </w:pPr>
      <w:r w:rsidRPr="00DE68A1">
        <w:rPr>
          <w:b/>
          <w:bCs/>
        </w:rPr>
        <w:lastRenderedPageBreak/>
        <w:t xml:space="preserve">Environmental, Social and Governance Initiatives: </w:t>
      </w:r>
    </w:p>
    <w:p w14:paraId="52A8AF93" w14:textId="77777777" w:rsidR="000C31CB" w:rsidRPr="00DE68A1" w:rsidRDefault="000C31CB" w:rsidP="000C31CB">
      <w:pPr>
        <w:bidi w:val="0"/>
        <w:rPr>
          <w:b/>
          <w:bCs/>
        </w:rPr>
      </w:pPr>
    </w:p>
    <w:p w14:paraId="7D72D7E0" w14:textId="77777777" w:rsidR="00556A0E" w:rsidRPr="00556A0E" w:rsidRDefault="00556A0E" w:rsidP="00556A0E">
      <w:pPr>
        <w:bidi w:val="0"/>
        <w:spacing w:after="200" w:line="276" w:lineRule="auto"/>
        <w:jc w:val="both"/>
        <w:rPr>
          <w:rFonts w:eastAsia="Calibri"/>
        </w:rPr>
      </w:pPr>
      <w:r w:rsidRPr="00556A0E">
        <w:rPr>
          <w:rFonts w:eastAsia="Calibri"/>
        </w:rPr>
        <w:t xml:space="preserve">The Industrial Bank of Kuwait plays a vital role in consolidating the sustainability approach of the industrial sector in the country, and this is reflected by financing loans in various industrial sectors that support efforts to diversify the production structure. </w:t>
      </w:r>
    </w:p>
    <w:p w14:paraId="39D0B891" w14:textId="77777777" w:rsidR="00556A0E" w:rsidRPr="00556A0E" w:rsidRDefault="00556A0E" w:rsidP="00556A0E">
      <w:pPr>
        <w:bidi w:val="0"/>
        <w:spacing w:after="200" w:line="276" w:lineRule="auto"/>
        <w:jc w:val="both"/>
        <w:rPr>
          <w:rFonts w:eastAsia="Calibri"/>
        </w:rPr>
      </w:pPr>
      <w:r w:rsidRPr="00556A0E">
        <w:rPr>
          <w:rFonts w:eastAsia="Calibri"/>
        </w:rPr>
        <w:t xml:space="preserve">The bank also contributed effectively to environmental and social sustainability activities through the specialized portfolios it manages, by financing agricultural projects that contribute to the growth of the vegetation cover and enhancing food security in the country, and financing small and medium enterprises that contributed to creating job opportunities for Kuwaiti youth. </w:t>
      </w:r>
    </w:p>
    <w:p w14:paraId="174566D3" w14:textId="77777777" w:rsidR="00556A0E" w:rsidRPr="00556A0E" w:rsidRDefault="00556A0E" w:rsidP="00556A0E">
      <w:pPr>
        <w:bidi w:val="0"/>
        <w:spacing w:after="200" w:line="276" w:lineRule="auto"/>
        <w:jc w:val="both"/>
        <w:rPr>
          <w:rFonts w:eastAsia="Calibri"/>
        </w:rPr>
      </w:pPr>
      <w:r w:rsidRPr="00556A0E">
        <w:rPr>
          <w:rFonts w:eastAsia="Calibri"/>
        </w:rPr>
        <w:t>The bank’s strategy has allocated the fourth goal to support the concept of sustainability, which states “Support a sustainable economy by promoting ESG agenda in line with the Kuwaiti government ambition”</w:t>
      </w:r>
    </w:p>
    <w:p w14:paraId="5C865F74" w14:textId="77777777" w:rsidR="00556A0E" w:rsidRPr="00556A0E" w:rsidRDefault="00556A0E" w:rsidP="00556A0E">
      <w:pPr>
        <w:bidi w:val="0"/>
        <w:spacing w:after="200" w:line="276" w:lineRule="auto"/>
        <w:jc w:val="both"/>
        <w:rPr>
          <w:rFonts w:eastAsia="Calibri"/>
        </w:rPr>
      </w:pPr>
      <w:r w:rsidRPr="00556A0E">
        <w:rPr>
          <w:rFonts w:eastAsia="Calibri"/>
        </w:rPr>
        <w:t xml:space="preserve">The bank has developed a work policy for ESG, to manage the implementation of sustainability initiatives related to economic, environmental and social aspects within an internal governance system that is consistent with global governance standards. </w:t>
      </w:r>
    </w:p>
    <w:p w14:paraId="2A08C4D3" w14:textId="77777777" w:rsidR="00556A0E" w:rsidRPr="00250A56" w:rsidRDefault="00556A0E" w:rsidP="00556A0E">
      <w:pPr>
        <w:bidi w:val="0"/>
        <w:spacing w:after="200" w:line="276" w:lineRule="auto"/>
        <w:jc w:val="both"/>
        <w:rPr>
          <w:rFonts w:ascii="Calibri" w:hAnsi="Calibri" w:cs="Calibri"/>
          <w:lang w:bidi="ar-KW"/>
        </w:rPr>
      </w:pPr>
      <w:r w:rsidRPr="00556A0E">
        <w:rPr>
          <w:rFonts w:eastAsia="Calibri"/>
        </w:rPr>
        <w:t>This policy aims to demonstrate the bank's commitment to integrating sustainability principles into its strategies and investment and financing operations, and aligning its business practices with environmental, social and corporate governance standards. The policy includes 8 elements that the bank focuses on as follows</w:t>
      </w:r>
      <w:r w:rsidRPr="00250A56">
        <w:rPr>
          <w:rFonts w:ascii="Calibri" w:hAnsi="Calibri" w:cs="Calibri"/>
          <w:rtl/>
          <w:lang w:bidi="ar-KW"/>
        </w:rPr>
        <w:t>:</w:t>
      </w:r>
    </w:p>
    <w:p w14:paraId="2D73AAC5" w14:textId="77777777" w:rsidR="00556A0E" w:rsidRPr="00556A0E" w:rsidRDefault="00556A0E" w:rsidP="00556A0E">
      <w:pPr>
        <w:pStyle w:val="ListParagraph"/>
        <w:numPr>
          <w:ilvl w:val="0"/>
          <w:numId w:val="38"/>
        </w:numPr>
        <w:bidi w:val="0"/>
        <w:jc w:val="both"/>
        <w:rPr>
          <w:rFonts w:eastAsia="Calibri"/>
        </w:rPr>
      </w:pPr>
      <w:r w:rsidRPr="00556A0E">
        <w:rPr>
          <w:rFonts w:eastAsia="Calibri"/>
        </w:rPr>
        <w:t>Community development</w:t>
      </w:r>
    </w:p>
    <w:p w14:paraId="496B126B" w14:textId="77777777" w:rsidR="00556A0E" w:rsidRPr="00556A0E" w:rsidRDefault="00556A0E" w:rsidP="00556A0E">
      <w:pPr>
        <w:pStyle w:val="ListParagraph"/>
        <w:numPr>
          <w:ilvl w:val="0"/>
          <w:numId w:val="38"/>
        </w:numPr>
        <w:bidi w:val="0"/>
        <w:jc w:val="both"/>
        <w:rPr>
          <w:rFonts w:eastAsia="Calibri"/>
        </w:rPr>
      </w:pPr>
      <w:r w:rsidRPr="00556A0E">
        <w:rPr>
          <w:rFonts w:eastAsia="Calibri"/>
        </w:rPr>
        <w:t>Job creation and talent development</w:t>
      </w:r>
    </w:p>
    <w:p w14:paraId="2BAE7E52" w14:textId="77777777" w:rsidR="00556A0E" w:rsidRPr="00556A0E" w:rsidRDefault="00556A0E" w:rsidP="00556A0E">
      <w:pPr>
        <w:pStyle w:val="ListParagraph"/>
        <w:numPr>
          <w:ilvl w:val="0"/>
          <w:numId w:val="38"/>
        </w:numPr>
        <w:bidi w:val="0"/>
        <w:jc w:val="both"/>
        <w:rPr>
          <w:rFonts w:eastAsia="Calibri"/>
        </w:rPr>
      </w:pPr>
      <w:r w:rsidRPr="00556A0E">
        <w:rPr>
          <w:rFonts w:eastAsia="Calibri"/>
        </w:rPr>
        <w:t>Diversification of the economy</w:t>
      </w:r>
    </w:p>
    <w:p w14:paraId="6030D565" w14:textId="77777777" w:rsidR="00556A0E" w:rsidRPr="00556A0E" w:rsidRDefault="00556A0E" w:rsidP="00556A0E">
      <w:pPr>
        <w:pStyle w:val="ListParagraph"/>
        <w:numPr>
          <w:ilvl w:val="0"/>
          <w:numId w:val="38"/>
        </w:numPr>
        <w:bidi w:val="0"/>
        <w:jc w:val="both"/>
        <w:rPr>
          <w:rFonts w:eastAsia="Calibri"/>
        </w:rPr>
      </w:pPr>
      <w:r w:rsidRPr="00556A0E">
        <w:rPr>
          <w:rFonts w:eastAsia="Calibri"/>
        </w:rPr>
        <w:t>Enhancing waste and wastewater management in the industrial sector</w:t>
      </w:r>
    </w:p>
    <w:p w14:paraId="4C777A14" w14:textId="77777777" w:rsidR="00556A0E" w:rsidRPr="00556A0E" w:rsidRDefault="00556A0E" w:rsidP="00556A0E">
      <w:pPr>
        <w:pStyle w:val="ListParagraph"/>
        <w:numPr>
          <w:ilvl w:val="0"/>
          <w:numId w:val="38"/>
        </w:numPr>
        <w:bidi w:val="0"/>
        <w:jc w:val="both"/>
        <w:rPr>
          <w:rFonts w:eastAsia="Calibri"/>
        </w:rPr>
      </w:pPr>
      <w:r w:rsidRPr="00556A0E">
        <w:rPr>
          <w:rFonts w:eastAsia="Calibri"/>
        </w:rPr>
        <w:t>Digital transformation</w:t>
      </w:r>
    </w:p>
    <w:p w14:paraId="1E932ACF" w14:textId="77777777" w:rsidR="00556A0E" w:rsidRPr="00556A0E" w:rsidRDefault="00556A0E" w:rsidP="00556A0E">
      <w:pPr>
        <w:pStyle w:val="ListParagraph"/>
        <w:numPr>
          <w:ilvl w:val="0"/>
          <w:numId w:val="38"/>
        </w:numPr>
        <w:bidi w:val="0"/>
        <w:jc w:val="both"/>
        <w:rPr>
          <w:rFonts w:eastAsia="Calibri"/>
        </w:rPr>
      </w:pPr>
      <w:r w:rsidRPr="00556A0E">
        <w:rPr>
          <w:rFonts w:eastAsia="Calibri"/>
        </w:rPr>
        <w:t>Enhancing the sustainable supply chain</w:t>
      </w:r>
    </w:p>
    <w:p w14:paraId="0EDDFD00" w14:textId="77777777" w:rsidR="00556A0E" w:rsidRPr="00556A0E" w:rsidRDefault="00556A0E" w:rsidP="00556A0E">
      <w:pPr>
        <w:pStyle w:val="ListParagraph"/>
        <w:numPr>
          <w:ilvl w:val="0"/>
          <w:numId w:val="38"/>
        </w:numPr>
        <w:bidi w:val="0"/>
        <w:jc w:val="both"/>
        <w:rPr>
          <w:rFonts w:eastAsia="Calibri"/>
        </w:rPr>
      </w:pPr>
      <w:r w:rsidRPr="00556A0E">
        <w:rPr>
          <w:rFonts w:eastAsia="Calibri"/>
        </w:rPr>
        <w:t>Renewable energy</w:t>
      </w:r>
    </w:p>
    <w:p w14:paraId="753FAC82" w14:textId="77777777" w:rsidR="00556A0E" w:rsidRPr="00556A0E" w:rsidRDefault="00556A0E" w:rsidP="00556A0E">
      <w:pPr>
        <w:pStyle w:val="ListParagraph"/>
        <w:numPr>
          <w:ilvl w:val="0"/>
          <w:numId w:val="38"/>
        </w:numPr>
        <w:bidi w:val="0"/>
        <w:jc w:val="both"/>
        <w:rPr>
          <w:rFonts w:eastAsia="Calibri"/>
        </w:rPr>
      </w:pPr>
      <w:r w:rsidRPr="00556A0E">
        <w:rPr>
          <w:rFonts w:eastAsia="Calibri"/>
        </w:rPr>
        <w:t>Enhancing environmental contribution</w:t>
      </w:r>
    </w:p>
    <w:p w14:paraId="2B2EFF44" w14:textId="77777777" w:rsidR="00556A0E" w:rsidRPr="00556A0E" w:rsidRDefault="00556A0E" w:rsidP="00556A0E">
      <w:pPr>
        <w:bidi w:val="0"/>
        <w:spacing w:before="240" w:after="200" w:line="276" w:lineRule="auto"/>
        <w:jc w:val="both"/>
        <w:rPr>
          <w:rFonts w:eastAsia="Calibri"/>
        </w:rPr>
      </w:pPr>
      <w:r w:rsidRPr="00556A0E">
        <w:rPr>
          <w:rFonts w:eastAsia="Calibri"/>
        </w:rPr>
        <w:t>As part of its efforts to enhance corporate sustainability, the bank conducted a Materiality Assessment involving internal and external stakeholders. The strategic team is currently developing a sustainability strategy that will form the basis for adopting sustainability standards and practices across the bank.</w:t>
      </w:r>
    </w:p>
    <w:p w14:paraId="34E71137" w14:textId="77777777" w:rsidR="00556A0E" w:rsidRPr="00556A0E" w:rsidRDefault="00556A0E" w:rsidP="00556A0E">
      <w:pPr>
        <w:bidi w:val="0"/>
        <w:spacing w:after="200" w:line="276" w:lineRule="auto"/>
        <w:jc w:val="both"/>
        <w:rPr>
          <w:rFonts w:eastAsia="Calibri"/>
        </w:rPr>
      </w:pPr>
      <w:r w:rsidRPr="00556A0E">
        <w:rPr>
          <w:rFonts w:eastAsia="Calibri"/>
        </w:rPr>
        <w:t>In addition, the bank has launched several projects and initiatives aimed at encouraging local investors to participate in projects with environmental and social benefits, including:</w:t>
      </w:r>
    </w:p>
    <w:p w14:paraId="1F8C3709" w14:textId="5468481C" w:rsidR="00556A0E" w:rsidRPr="00232790" w:rsidRDefault="00556A0E" w:rsidP="00232790">
      <w:pPr>
        <w:pStyle w:val="ListParagraph"/>
        <w:numPr>
          <w:ilvl w:val="0"/>
          <w:numId w:val="39"/>
        </w:numPr>
        <w:bidi w:val="0"/>
        <w:spacing w:line="276" w:lineRule="auto"/>
        <w:jc w:val="both"/>
        <w:rPr>
          <w:rFonts w:eastAsia="Calibri"/>
        </w:rPr>
      </w:pPr>
      <w:r w:rsidRPr="00232790">
        <w:rPr>
          <w:rFonts w:eastAsia="Calibri"/>
        </w:rPr>
        <w:t>The Green Industry Project with the Ministry of Electricity, Water, and Renewable Energy.</w:t>
      </w:r>
    </w:p>
    <w:p w14:paraId="612815C1" w14:textId="0437165A" w:rsidR="00556A0E" w:rsidRPr="00232790" w:rsidRDefault="00556A0E" w:rsidP="00232790">
      <w:pPr>
        <w:pStyle w:val="ListParagraph"/>
        <w:numPr>
          <w:ilvl w:val="0"/>
          <w:numId w:val="39"/>
        </w:numPr>
        <w:bidi w:val="0"/>
        <w:spacing w:line="276" w:lineRule="auto"/>
        <w:jc w:val="both"/>
        <w:rPr>
          <w:rFonts w:eastAsia="Calibri"/>
        </w:rPr>
      </w:pPr>
      <w:r w:rsidRPr="00232790">
        <w:rPr>
          <w:rFonts w:eastAsia="Calibri"/>
        </w:rPr>
        <w:t>A project to develop local factories by adopting Fourth Industrial Revolution technologies.</w:t>
      </w:r>
    </w:p>
    <w:p w14:paraId="3BEAFE65" w14:textId="77777777" w:rsidR="00556A0E" w:rsidRPr="00556A0E" w:rsidRDefault="00556A0E" w:rsidP="00232790">
      <w:pPr>
        <w:bidi w:val="0"/>
        <w:spacing w:before="240" w:after="200" w:line="276" w:lineRule="auto"/>
        <w:jc w:val="both"/>
        <w:rPr>
          <w:rFonts w:eastAsia="Calibri"/>
        </w:rPr>
      </w:pPr>
      <w:r w:rsidRPr="00556A0E">
        <w:rPr>
          <w:rFonts w:eastAsia="Calibri"/>
        </w:rPr>
        <w:t xml:space="preserve">Concurrently, the bank is working to develop and train internal staff in sustainability reporting according to GRI (Global Reporting Initiative) standards. It is preparing to issue its first sustainability report for 2025, which will include a comprehensive plan for calculating and </w:t>
      </w:r>
      <w:r w:rsidRPr="00556A0E">
        <w:rPr>
          <w:rFonts w:eastAsia="Calibri"/>
        </w:rPr>
        <w:lastRenderedPageBreak/>
        <w:t>measuring greenhouse gas emissions and complying with relevant best practices. This step will support the development of an accurate database that informs decision-making, enhances transparency in environmental disclosure, and identifies opportunities for the bank to reduce emissions in the long term.</w:t>
      </w:r>
    </w:p>
    <w:p w14:paraId="0809A7C8" w14:textId="0BCDEB4C" w:rsidR="00CD4BC7" w:rsidRPr="00DE68A1" w:rsidRDefault="00CD4BC7" w:rsidP="00437CBC">
      <w:pPr>
        <w:bidi w:val="0"/>
        <w:spacing w:after="200" w:line="276" w:lineRule="auto"/>
        <w:jc w:val="both"/>
        <w:rPr>
          <w:rFonts w:eastAsia="Calibri"/>
        </w:rPr>
      </w:pPr>
      <w:r w:rsidRPr="00DE68A1">
        <w:rPr>
          <w:rFonts w:eastAsia="Calibri"/>
          <w:b/>
          <w:bCs/>
        </w:rPr>
        <w:t>Stress Testing:</w:t>
      </w:r>
      <w:r w:rsidR="009E7AA8" w:rsidRPr="00DE68A1">
        <w:rPr>
          <w:rFonts w:eastAsia="Calibri"/>
        </w:rPr>
        <w:t xml:space="preserve"> </w:t>
      </w:r>
      <w:r w:rsidR="00114927" w:rsidRPr="00DE68A1">
        <w:rPr>
          <w:rFonts w:eastAsia="Calibri"/>
        </w:rPr>
        <w:t>A</w:t>
      </w:r>
      <w:r w:rsidRPr="00DE68A1">
        <w:rPr>
          <w:rFonts w:eastAsia="Calibri"/>
        </w:rPr>
        <w:t xml:space="preserve"> fundamental duty of </w:t>
      </w:r>
      <w:r w:rsidR="00437CBC" w:rsidRPr="00DE68A1">
        <w:rPr>
          <w:rFonts w:eastAsia="Calibri"/>
        </w:rPr>
        <w:t xml:space="preserve">the </w:t>
      </w:r>
      <w:r w:rsidRPr="00DE68A1">
        <w:rPr>
          <w:rFonts w:eastAsia="Calibri"/>
        </w:rPr>
        <w:t>risk management</w:t>
      </w:r>
      <w:r w:rsidR="00437CBC" w:rsidRPr="00DE68A1">
        <w:rPr>
          <w:rFonts w:eastAsia="Calibri"/>
        </w:rPr>
        <w:t xml:space="preserve"> department</w:t>
      </w:r>
      <w:r w:rsidRPr="00DE68A1">
        <w:rPr>
          <w:rFonts w:eastAsia="Calibri"/>
        </w:rPr>
        <w:t xml:space="preserve"> is to ensure that the Bank does not neglect to prepare for the worst event as they plan for growth. Stress testing helps the Bank understand how its portfolios would react if business conditions became significantly more challenging. Risk Management generates specific forward-looking scenarios and analyses how well liquidity and profitability would hold up, whether </w:t>
      </w:r>
      <w:r w:rsidR="00114927" w:rsidRPr="00DE68A1">
        <w:rPr>
          <w:rFonts w:eastAsia="Calibri"/>
        </w:rPr>
        <w:t>the</w:t>
      </w:r>
      <w:r w:rsidRPr="00DE68A1">
        <w:rPr>
          <w:rFonts w:eastAsia="Calibri"/>
        </w:rPr>
        <w:t xml:space="preserve"> levels of capital would be adequate to meet </w:t>
      </w:r>
      <w:r w:rsidR="00114927" w:rsidRPr="00DE68A1">
        <w:rPr>
          <w:rFonts w:eastAsia="Calibri"/>
        </w:rPr>
        <w:t xml:space="preserve">significant </w:t>
      </w:r>
      <w:r w:rsidRPr="00DE68A1">
        <w:rPr>
          <w:rFonts w:eastAsia="Calibri"/>
        </w:rPr>
        <w:t xml:space="preserve">shocks and what managers could do ahead of time to </w:t>
      </w:r>
      <w:r w:rsidR="00423D62" w:rsidRPr="00DE68A1">
        <w:rPr>
          <w:rFonts w:eastAsia="Calibri"/>
        </w:rPr>
        <w:t>mitigate risk</w:t>
      </w:r>
      <w:r w:rsidRPr="00DE68A1">
        <w:rPr>
          <w:rFonts w:eastAsia="Calibri"/>
        </w:rPr>
        <w:t xml:space="preserve">. Stress tests capture a wide range of variables that are relevant to the current environment. </w:t>
      </w:r>
      <w:r w:rsidR="00E27E56" w:rsidRPr="00DE68A1">
        <w:rPr>
          <w:rFonts w:eastAsia="Calibri"/>
        </w:rPr>
        <w:t>The</w:t>
      </w:r>
      <w:r w:rsidRPr="00DE68A1">
        <w:rPr>
          <w:rFonts w:eastAsia="Calibri"/>
        </w:rPr>
        <w:t xml:space="preserve"> Risk </w:t>
      </w:r>
      <w:r w:rsidR="00E27E56" w:rsidRPr="00DE68A1">
        <w:rPr>
          <w:rFonts w:eastAsia="Calibri"/>
        </w:rPr>
        <w:t xml:space="preserve">Management </w:t>
      </w:r>
      <w:r w:rsidR="008D774B" w:rsidRPr="00DE68A1">
        <w:rPr>
          <w:rFonts w:eastAsia="Calibri"/>
        </w:rPr>
        <w:t>department</w:t>
      </w:r>
      <w:r w:rsidRPr="00DE68A1">
        <w:rPr>
          <w:rFonts w:eastAsia="Calibri"/>
        </w:rPr>
        <w:t xml:space="preserve"> co-ordinates the process</w:t>
      </w:r>
      <w:r w:rsidR="00E27E56" w:rsidRPr="00DE68A1">
        <w:rPr>
          <w:rFonts w:eastAsia="Calibri"/>
        </w:rPr>
        <w:t xml:space="preserve"> of stress testing</w:t>
      </w:r>
      <w:r w:rsidRPr="00DE68A1">
        <w:rPr>
          <w:rFonts w:eastAsia="Calibri"/>
        </w:rPr>
        <w:t>, using</w:t>
      </w:r>
      <w:r w:rsidR="00E27E56" w:rsidRPr="00DE68A1">
        <w:rPr>
          <w:rFonts w:eastAsia="Calibri"/>
        </w:rPr>
        <w:t xml:space="preserve"> </w:t>
      </w:r>
      <w:r w:rsidRPr="00DE68A1">
        <w:rPr>
          <w:rFonts w:eastAsia="Calibri"/>
        </w:rPr>
        <w:t>bottom-up analysis</w:t>
      </w:r>
      <w:r w:rsidR="00A642FF" w:rsidRPr="00DE68A1">
        <w:rPr>
          <w:rFonts w:eastAsia="Calibri"/>
        </w:rPr>
        <w:t xml:space="preserve"> on expected and unexpected loss.</w:t>
      </w:r>
      <w:r w:rsidRPr="00DE68A1">
        <w:rPr>
          <w:rFonts w:eastAsia="Calibri"/>
        </w:rPr>
        <w:t xml:space="preserve"> The results of the stress</w:t>
      </w:r>
      <w:r w:rsidR="00E27E56" w:rsidRPr="00DE68A1">
        <w:rPr>
          <w:rFonts w:eastAsia="Calibri"/>
        </w:rPr>
        <w:t xml:space="preserve"> </w:t>
      </w:r>
      <w:r w:rsidRPr="00DE68A1">
        <w:rPr>
          <w:rFonts w:eastAsia="Calibri"/>
        </w:rPr>
        <w:t xml:space="preserve">tests are presented to the </w:t>
      </w:r>
      <w:r w:rsidR="00A642FF" w:rsidRPr="00DE68A1">
        <w:rPr>
          <w:rFonts w:eastAsia="Calibri"/>
        </w:rPr>
        <w:t>E</w:t>
      </w:r>
      <w:r w:rsidRPr="00DE68A1">
        <w:rPr>
          <w:rFonts w:eastAsia="Calibri"/>
        </w:rPr>
        <w:t xml:space="preserve">xecutive </w:t>
      </w:r>
      <w:r w:rsidR="00437CBC" w:rsidRPr="00DE68A1">
        <w:rPr>
          <w:rFonts w:eastAsia="Calibri"/>
        </w:rPr>
        <w:t>C</w:t>
      </w:r>
      <w:r w:rsidRPr="00DE68A1">
        <w:rPr>
          <w:rFonts w:eastAsia="Calibri"/>
        </w:rPr>
        <w:t>ommittee</w:t>
      </w:r>
      <w:r w:rsidR="00437CBC" w:rsidRPr="00DE68A1">
        <w:rPr>
          <w:rFonts w:eastAsia="Calibri"/>
        </w:rPr>
        <w:t>,</w:t>
      </w:r>
      <w:r w:rsidR="00E27E56" w:rsidRPr="00DE68A1">
        <w:rPr>
          <w:rFonts w:eastAsia="Calibri"/>
        </w:rPr>
        <w:t xml:space="preserve"> </w:t>
      </w:r>
      <w:r w:rsidRPr="00DE68A1">
        <w:rPr>
          <w:rFonts w:eastAsia="Calibri"/>
        </w:rPr>
        <w:t xml:space="preserve">the </w:t>
      </w:r>
      <w:r w:rsidR="001B4C92" w:rsidRPr="00DE68A1">
        <w:rPr>
          <w:rFonts w:eastAsia="Calibri"/>
        </w:rPr>
        <w:t>Board</w:t>
      </w:r>
      <w:r w:rsidR="00114927" w:rsidRPr="00DE68A1">
        <w:rPr>
          <w:rFonts w:eastAsia="Calibri"/>
        </w:rPr>
        <w:t xml:space="preserve"> Risk </w:t>
      </w:r>
      <w:r w:rsidRPr="00DE68A1">
        <w:rPr>
          <w:rFonts w:eastAsia="Calibri"/>
        </w:rPr>
        <w:t>Committee,</w:t>
      </w:r>
      <w:r w:rsidR="00E27E56" w:rsidRPr="00DE68A1">
        <w:rPr>
          <w:rFonts w:eastAsia="Calibri"/>
        </w:rPr>
        <w:t xml:space="preserve"> </w:t>
      </w:r>
      <w:r w:rsidR="00437CBC" w:rsidRPr="00DE68A1">
        <w:rPr>
          <w:rFonts w:eastAsia="Calibri"/>
        </w:rPr>
        <w:t>t</w:t>
      </w:r>
      <w:r w:rsidR="00A642FF" w:rsidRPr="00DE68A1">
        <w:rPr>
          <w:rFonts w:eastAsia="Calibri"/>
        </w:rPr>
        <w:t xml:space="preserve">he Board of Directors </w:t>
      </w:r>
      <w:r w:rsidR="00E27E56" w:rsidRPr="00DE68A1">
        <w:rPr>
          <w:rFonts w:eastAsia="Calibri"/>
        </w:rPr>
        <w:t xml:space="preserve">and </w:t>
      </w:r>
      <w:r w:rsidR="00437CBC" w:rsidRPr="00DE68A1">
        <w:rPr>
          <w:rFonts w:eastAsia="Calibri"/>
        </w:rPr>
        <w:t xml:space="preserve">to </w:t>
      </w:r>
      <w:r w:rsidR="00E27E56" w:rsidRPr="00DE68A1">
        <w:rPr>
          <w:rFonts w:eastAsia="Calibri"/>
        </w:rPr>
        <w:t>the regulatory authority –</w:t>
      </w:r>
      <w:r w:rsidR="00114927" w:rsidRPr="00DE68A1">
        <w:rPr>
          <w:rFonts w:eastAsia="Calibri"/>
        </w:rPr>
        <w:t xml:space="preserve"> </w:t>
      </w:r>
      <w:r w:rsidR="00E27E56" w:rsidRPr="00DE68A1">
        <w:rPr>
          <w:rFonts w:eastAsia="Calibri"/>
        </w:rPr>
        <w:t xml:space="preserve">The Central Bank of Kuwait for </w:t>
      </w:r>
      <w:r w:rsidRPr="00DE68A1">
        <w:rPr>
          <w:rFonts w:eastAsia="Calibri"/>
        </w:rPr>
        <w:t xml:space="preserve">its assessment of the </w:t>
      </w:r>
      <w:r w:rsidR="00E27E56" w:rsidRPr="00DE68A1">
        <w:rPr>
          <w:rFonts w:eastAsia="Calibri"/>
        </w:rPr>
        <w:t>Bank’</w:t>
      </w:r>
      <w:r w:rsidRPr="00DE68A1">
        <w:rPr>
          <w:rFonts w:eastAsia="Calibri"/>
        </w:rPr>
        <w:t>s resilience to stressed credit</w:t>
      </w:r>
      <w:r w:rsidR="00E27E56" w:rsidRPr="00DE68A1">
        <w:rPr>
          <w:rFonts w:eastAsia="Calibri"/>
        </w:rPr>
        <w:t xml:space="preserve"> </w:t>
      </w:r>
      <w:r w:rsidRPr="00DE68A1">
        <w:rPr>
          <w:rFonts w:eastAsia="Calibri"/>
        </w:rPr>
        <w:t>risk, market risk and economic conditions</w:t>
      </w:r>
      <w:r w:rsidR="00A642FF" w:rsidRPr="00DE68A1">
        <w:rPr>
          <w:rFonts w:eastAsia="Calibri"/>
        </w:rPr>
        <w:t>.</w:t>
      </w:r>
      <w:r w:rsidR="00F03CA7" w:rsidRPr="00DE68A1">
        <w:rPr>
          <w:rFonts w:eastAsia="Calibri"/>
        </w:rPr>
        <w:t xml:space="preserve"> </w:t>
      </w:r>
      <w:r w:rsidRPr="00DE68A1">
        <w:rPr>
          <w:rFonts w:eastAsia="Calibri"/>
        </w:rPr>
        <w:t>Th</w:t>
      </w:r>
      <w:r w:rsidR="00F03CA7" w:rsidRPr="00DE68A1">
        <w:rPr>
          <w:rFonts w:eastAsia="Calibri"/>
        </w:rPr>
        <w:t>e</w:t>
      </w:r>
      <w:r w:rsidRPr="00DE68A1">
        <w:rPr>
          <w:rFonts w:eastAsia="Calibri"/>
        </w:rPr>
        <w:t xml:space="preserve"> stress</w:t>
      </w:r>
      <w:r w:rsidR="00F03CA7" w:rsidRPr="00DE68A1">
        <w:rPr>
          <w:rFonts w:eastAsia="Calibri"/>
        </w:rPr>
        <w:t xml:space="preserve"> </w:t>
      </w:r>
      <w:r w:rsidRPr="00DE68A1">
        <w:rPr>
          <w:rFonts w:eastAsia="Calibri"/>
        </w:rPr>
        <w:t>scenario</w:t>
      </w:r>
      <w:r w:rsidR="00F03CA7" w:rsidRPr="00DE68A1">
        <w:rPr>
          <w:rFonts w:eastAsia="Calibri"/>
        </w:rPr>
        <w:t>s</w:t>
      </w:r>
      <w:r w:rsidRPr="00DE68A1">
        <w:rPr>
          <w:rFonts w:eastAsia="Calibri"/>
        </w:rPr>
        <w:t xml:space="preserve"> </w:t>
      </w:r>
      <w:r w:rsidR="00423D62" w:rsidRPr="00DE68A1">
        <w:rPr>
          <w:rFonts w:eastAsia="Calibri"/>
        </w:rPr>
        <w:t>consider</w:t>
      </w:r>
      <w:r w:rsidRPr="00DE68A1">
        <w:rPr>
          <w:rFonts w:eastAsia="Calibri"/>
        </w:rPr>
        <w:t xml:space="preserve"> a wide range of factors, including:</w:t>
      </w:r>
      <w:r w:rsidR="00114927" w:rsidRPr="00DE68A1">
        <w:rPr>
          <w:rFonts w:eastAsia="Calibri"/>
        </w:rPr>
        <w:t xml:space="preserve"> </w:t>
      </w:r>
      <w:r w:rsidR="00423D62" w:rsidRPr="00DE68A1">
        <w:rPr>
          <w:rFonts w:eastAsia="Calibri"/>
        </w:rPr>
        <w:t>The</w:t>
      </w:r>
      <w:r w:rsidRPr="00DE68A1">
        <w:rPr>
          <w:rFonts w:eastAsia="Calibri"/>
        </w:rPr>
        <w:t xml:space="preserve"> </w:t>
      </w:r>
      <w:r w:rsidR="00F03CA7" w:rsidRPr="00DE68A1">
        <w:rPr>
          <w:rFonts w:eastAsia="Calibri"/>
        </w:rPr>
        <w:t>Bank</w:t>
      </w:r>
      <w:r w:rsidRPr="00DE68A1">
        <w:rPr>
          <w:rFonts w:eastAsia="Calibri" w:hint="cs"/>
        </w:rPr>
        <w:t>’</w:t>
      </w:r>
      <w:r w:rsidRPr="00DE68A1">
        <w:rPr>
          <w:rFonts w:eastAsia="Calibri"/>
        </w:rPr>
        <w:t>s revenue generation potential</w:t>
      </w:r>
      <w:r w:rsidR="00F03CA7" w:rsidRPr="00DE68A1">
        <w:rPr>
          <w:rFonts w:eastAsia="Calibri"/>
        </w:rPr>
        <w:t xml:space="preserve">, </w:t>
      </w:r>
      <w:r w:rsidR="001B4C92" w:rsidRPr="00DE68A1">
        <w:rPr>
          <w:rFonts w:eastAsia="Calibri"/>
        </w:rPr>
        <w:t xml:space="preserve">loan loss provisions and </w:t>
      </w:r>
      <w:r w:rsidRPr="00DE68A1">
        <w:rPr>
          <w:rFonts w:eastAsia="Calibri"/>
        </w:rPr>
        <w:t>the probability of default and possible losses given default within its</w:t>
      </w:r>
      <w:r w:rsidR="00F03CA7" w:rsidRPr="00DE68A1">
        <w:rPr>
          <w:rFonts w:eastAsia="Calibri"/>
        </w:rPr>
        <w:t xml:space="preserve"> </w:t>
      </w:r>
      <w:r w:rsidRPr="00DE68A1">
        <w:rPr>
          <w:rFonts w:eastAsia="Calibri"/>
        </w:rPr>
        <w:t>loan book; and</w:t>
      </w:r>
      <w:r w:rsidR="00F03CA7" w:rsidRPr="00DE68A1">
        <w:rPr>
          <w:rFonts w:eastAsia="Calibri"/>
        </w:rPr>
        <w:t xml:space="preserve"> </w:t>
      </w:r>
      <w:r w:rsidRPr="00DE68A1">
        <w:rPr>
          <w:rFonts w:eastAsia="Calibri"/>
        </w:rPr>
        <w:t xml:space="preserve">possible declines in the market value of </w:t>
      </w:r>
      <w:r w:rsidR="00F03CA7" w:rsidRPr="00DE68A1">
        <w:rPr>
          <w:rFonts w:eastAsia="Calibri"/>
        </w:rPr>
        <w:t xml:space="preserve">investment </w:t>
      </w:r>
      <w:r w:rsidRPr="00DE68A1">
        <w:rPr>
          <w:rFonts w:eastAsia="Calibri"/>
        </w:rPr>
        <w:t>assets</w:t>
      </w:r>
      <w:r w:rsidR="00114927" w:rsidRPr="00DE68A1">
        <w:rPr>
          <w:rFonts w:eastAsia="Calibri"/>
        </w:rPr>
        <w:t xml:space="preserve"> and effects on capital adequacy</w:t>
      </w:r>
      <w:r w:rsidR="00F03CA7" w:rsidRPr="00DE68A1">
        <w:rPr>
          <w:rFonts w:eastAsia="Calibri"/>
        </w:rPr>
        <w:t xml:space="preserve">. </w:t>
      </w:r>
    </w:p>
    <w:p w14:paraId="75766A03" w14:textId="5F4061EA" w:rsidR="00457940" w:rsidRPr="00DE68A1" w:rsidRDefault="00457940" w:rsidP="007A7387">
      <w:pPr>
        <w:bidi w:val="0"/>
        <w:spacing w:after="200" w:line="276" w:lineRule="auto"/>
        <w:jc w:val="both"/>
        <w:rPr>
          <w:rFonts w:eastAsia="Calibri"/>
        </w:rPr>
      </w:pPr>
      <w:r w:rsidRPr="00DE68A1">
        <w:rPr>
          <w:rFonts w:eastAsia="Calibri"/>
        </w:rPr>
        <w:t>The results of the stress test</w:t>
      </w:r>
      <w:r w:rsidR="00437CBC" w:rsidRPr="00DE68A1">
        <w:rPr>
          <w:rFonts w:eastAsia="Calibri"/>
        </w:rPr>
        <w:t>ing</w:t>
      </w:r>
      <w:r w:rsidRPr="00DE68A1">
        <w:rPr>
          <w:rFonts w:eastAsia="Calibri"/>
        </w:rPr>
        <w:t xml:space="preserve"> also serve as reference points for triggering action on the Bank’s capital planning policy and decisions on whether it requires a change of strategy or additional capital. Presently, the Bank is highly </w:t>
      </w:r>
      <w:r w:rsidR="00DE68A1" w:rsidRPr="00DE68A1">
        <w:rPr>
          <w:rFonts w:eastAsia="Calibri"/>
        </w:rPr>
        <w:t>capitalized,</w:t>
      </w:r>
      <w:r w:rsidRPr="00DE68A1">
        <w:rPr>
          <w:rFonts w:eastAsia="Calibri"/>
        </w:rPr>
        <w:t xml:space="preserve"> and the capital support risk is low.</w:t>
      </w:r>
    </w:p>
    <w:p w14:paraId="3453410A" w14:textId="381C319E" w:rsidR="00C276F3" w:rsidRPr="00DE68A1" w:rsidRDefault="00C276F3" w:rsidP="00C276F3">
      <w:pPr>
        <w:bidi w:val="0"/>
        <w:spacing w:after="200" w:line="276" w:lineRule="auto"/>
        <w:jc w:val="both"/>
        <w:rPr>
          <w:rFonts w:eastAsia="Calibri"/>
        </w:rPr>
      </w:pPr>
      <w:bookmarkStart w:id="0" w:name="_Hlk156296965"/>
      <w:bookmarkStart w:id="1" w:name="_Hlk156297624"/>
      <w:r w:rsidRPr="00DE68A1">
        <w:rPr>
          <w:rFonts w:eastAsia="Calibri"/>
        </w:rPr>
        <w:t xml:space="preserve">Financial Environment and </w:t>
      </w:r>
      <w:r w:rsidR="00B54A83" w:rsidRPr="00DE68A1">
        <w:rPr>
          <w:rFonts w:eastAsia="Calibri"/>
        </w:rPr>
        <w:t>Regulation:</w:t>
      </w:r>
      <w:r w:rsidR="00BE260F" w:rsidRPr="00DE68A1">
        <w:rPr>
          <w:rFonts w:eastAsia="Calibri"/>
        </w:rPr>
        <w:t xml:space="preserve"> The Crude Oil prices which were at USD76 /</w:t>
      </w:r>
      <w:proofErr w:type="spellStart"/>
      <w:r w:rsidR="00BE260F" w:rsidRPr="00DE68A1">
        <w:rPr>
          <w:rFonts w:eastAsia="Calibri"/>
        </w:rPr>
        <w:t>bbl</w:t>
      </w:r>
      <w:proofErr w:type="spellEnd"/>
      <w:r w:rsidR="00BE260F" w:rsidRPr="00DE68A1">
        <w:rPr>
          <w:rFonts w:eastAsia="Calibri"/>
        </w:rPr>
        <w:t xml:space="preserve"> reached USD55/</w:t>
      </w:r>
      <w:proofErr w:type="spellStart"/>
      <w:r w:rsidR="00BE260F" w:rsidRPr="00DE68A1">
        <w:rPr>
          <w:rFonts w:eastAsia="Calibri"/>
        </w:rPr>
        <w:t>bbl</w:t>
      </w:r>
      <w:proofErr w:type="spellEnd"/>
      <w:r w:rsidR="00BE260F" w:rsidRPr="00DE68A1">
        <w:rPr>
          <w:rFonts w:eastAsia="Calibri"/>
        </w:rPr>
        <w:t xml:space="preserve"> by the end of FY2025. </w:t>
      </w:r>
      <w:r w:rsidR="00B90666" w:rsidRPr="00DE68A1">
        <w:rPr>
          <w:rFonts w:eastAsia="Calibri"/>
        </w:rPr>
        <w:t xml:space="preserve">The international </w:t>
      </w:r>
      <w:r w:rsidR="00472284" w:rsidRPr="00DE68A1">
        <w:rPr>
          <w:rFonts w:eastAsia="Calibri"/>
        </w:rPr>
        <w:t>conflicts</w:t>
      </w:r>
      <w:r w:rsidR="00B90666" w:rsidRPr="00DE68A1">
        <w:rPr>
          <w:rFonts w:eastAsia="Calibri"/>
        </w:rPr>
        <w:t xml:space="preserve"> in the form of geopolitical risks </w:t>
      </w:r>
      <w:r w:rsidR="00472284" w:rsidRPr="00DE68A1">
        <w:rPr>
          <w:rFonts w:eastAsia="Calibri"/>
        </w:rPr>
        <w:t xml:space="preserve">in Russian region and in the middle east, </w:t>
      </w:r>
      <w:r w:rsidR="00B90666" w:rsidRPr="00DE68A1">
        <w:rPr>
          <w:rFonts w:eastAsia="Calibri"/>
        </w:rPr>
        <w:t xml:space="preserve">kept the demand for oil </w:t>
      </w:r>
      <w:r w:rsidR="004E62B8" w:rsidRPr="00DE68A1">
        <w:rPr>
          <w:rFonts w:eastAsia="Calibri"/>
        </w:rPr>
        <w:t>buoyant. Keeping</w:t>
      </w:r>
      <w:r w:rsidR="00BE260F" w:rsidRPr="00DE68A1">
        <w:rPr>
          <w:rFonts w:eastAsia="Calibri"/>
        </w:rPr>
        <w:t xml:space="preserve"> in view of the geopolitical conditions, the crude oil prices are likely to be volatile for the coming year FY26. </w:t>
      </w:r>
      <w:r w:rsidR="009108A6" w:rsidRPr="00DE68A1">
        <w:rPr>
          <w:rFonts w:eastAsia="Calibri"/>
        </w:rPr>
        <w:t xml:space="preserve"> </w:t>
      </w:r>
      <w:r w:rsidR="00035225" w:rsidRPr="00DE68A1">
        <w:rPr>
          <w:rFonts w:eastAsia="Calibri"/>
        </w:rPr>
        <w:t xml:space="preserve"> </w:t>
      </w:r>
      <w:r w:rsidR="00DE68A1" w:rsidRPr="00DE68A1">
        <w:rPr>
          <w:rFonts w:eastAsia="Calibri"/>
        </w:rPr>
        <w:t>The inflation</w:t>
      </w:r>
      <w:r w:rsidR="00472284" w:rsidRPr="00DE68A1">
        <w:rPr>
          <w:rFonts w:eastAsia="Calibri"/>
        </w:rPr>
        <w:t xml:space="preserve"> rates continued </w:t>
      </w:r>
      <w:r w:rsidR="009108A6" w:rsidRPr="00DE68A1">
        <w:rPr>
          <w:rFonts w:eastAsia="Calibri"/>
        </w:rPr>
        <w:t xml:space="preserve">to decline marginally </w:t>
      </w:r>
      <w:r w:rsidR="00472284" w:rsidRPr="00DE68A1">
        <w:rPr>
          <w:rFonts w:eastAsia="Calibri"/>
        </w:rPr>
        <w:t>during FY2</w:t>
      </w:r>
      <w:r w:rsidR="00072896" w:rsidRPr="00DE68A1">
        <w:rPr>
          <w:rFonts w:eastAsia="Calibri"/>
        </w:rPr>
        <w:t>5</w:t>
      </w:r>
      <w:r w:rsidR="00472284" w:rsidRPr="00DE68A1">
        <w:rPr>
          <w:rFonts w:eastAsia="Calibri"/>
        </w:rPr>
        <w:t xml:space="preserve">, leading to </w:t>
      </w:r>
      <w:r w:rsidR="00AF0724" w:rsidRPr="00DE68A1">
        <w:rPr>
          <w:rFonts w:eastAsia="Calibri"/>
        </w:rPr>
        <w:t>reduce Central</w:t>
      </w:r>
      <w:r w:rsidR="00472284" w:rsidRPr="00DE68A1">
        <w:rPr>
          <w:rFonts w:eastAsia="Calibri"/>
        </w:rPr>
        <w:t xml:space="preserve"> Bank of Kuwait discount rate from </w:t>
      </w:r>
      <w:r w:rsidR="009108A6" w:rsidRPr="00DE68A1">
        <w:rPr>
          <w:rFonts w:eastAsia="Calibri"/>
        </w:rPr>
        <w:t>4.</w:t>
      </w:r>
      <w:r w:rsidR="00BE260F" w:rsidRPr="00DE68A1">
        <w:rPr>
          <w:rFonts w:eastAsia="Calibri"/>
        </w:rPr>
        <w:t>00</w:t>
      </w:r>
      <w:r w:rsidR="009108A6" w:rsidRPr="00DE68A1">
        <w:rPr>
          <w:rFonts w:eastAsia="Calibri"/>
        </w:rPr>
        <w:t xml:space="preserve">% to </w:t>
      </w:r>
      <w:r w:rsidR="00BE260F" w:rsidRPr="00DE68A1">
        <w:rPr>
          <w:rFonts w:eastAsia="Calibri"/>
        </w:rPr>
        <w:t>3.50</w:t>
      </w:r>
      <w:r w:rsidR="009108A6" w:rsidRPr="00DE68A1">
        <w:rPr>
          <w:rFonts w:eastAsia="Calibri"/>
        </w:rPr>
        <w:t>%</w:t>
      </w:r>
      <w:r w:rsidR="005F04A5" w:rsidRPr="00DE68A1">
        <w:rPr>
          <w:rFonts w:eastAsia="Calibri"/>
        </w:rPr>
        <w:t>.</w:t>
      </w:r>
      <w:r w:rsidR="009108A6" w:rsidRPr="00DE68A1">
        <w:rPr>
          <w:rFonts w:eastAsia="Calibri"/>
        </w:rPr>
        <w:t xml:space="preserve"> </w:t>
      </w:r>
    </w:p>
    <w:bookmarkEnd w:id="0"/>
    <w:p w14:paraId="5ADD5233" w14:textId="627FD618" w:rsidR="00C31214" w:rsidRPr="00DE68A1" w:rsidRDefault="00C31214" w:rsidP="000A1ABC">
      <w:pPr>
        <w:bidi w:val="0"/>
        <w:spacing w:after="200" w:line="276" w:lineRule="auto"/>
        <w:jc w:val="both"/>
        <w:rPr>
          <w:rFonts w:eastAsia="Calibri"/>
        </w:rPr>
      </w:pPr>
      <w:r w:rsidRPr="00DE68A1">
        <w:rPr>
          <w:rFonts w:eastAsia="Calibri"/>
        </w:rPr>
        <w:t xml:space="preserve">The investment portfolio </w:t>
      </w:r>
      <w:r w:rsidR="00782DB9" w:rsidRPr="00DE68A1">
        <w:rPr>
          <w:rFonts w:eastAsia="Calibri"/>
        </w:rPr>
        <w:t xml:space="preserve">offered </w:t>
      </w:r>
      <w:r w:rsidR="00637505" w:rsidRPr="00DE68A1">
        <w:rPr>
          <w:rFonts w:eastAsia="Calibri"/>
        </w:rPr>
        <w:t xml:space="preserve">reasonable </w:t>
      </w:r>
      <w:r w:rsidR="00782DB9" w:rsidRPr="00DE68A1">
        <w:rPr>
          <w:rFonts w:eastAsia="Calibri"/>
        </w:rPr>
        <w:t>returns during FY2</w:t>
      </w:r>
      <w:r w:rsidR="00072896" w:rsidRPr="00DE68A1">
        <w:rPr>
          <w:rFonts w:eastAsia="Calibri"/>
        </w:rPr>
        <w:t>5</w:t>
      </w:r>
      <w:r w:rsidR="00637505" w:rsidRPr="00DE68A1">
        <w:rPr>
          <w:rFonts w:eastAsia="Calibri"/>
        </w:rPr>
        <w:t>,</w:t>
      </w:r>
      <w:r w:rsidR="00782DB9" w:rsidRPr="00DE68A1">
        <w:rPr>
          <w:rFonts w:eastAsia="Calibri"/>
        </w:rPr>
        <w:t xml:space="preserve"> even </w:t>
      </w:r>
      <w:r w:rsidR="00AF0724" w:rsidRPr="00DE68A1">
        <w:rPr>
          <w:rFonts w:eastAsia="Calibri"/>
        </w:rPr>
        <w:t>though</w:t>
      </w:r>
      <w:r w:rsidR="00782DB9" w:rsidRPr="00DE68A1">
        <w:rPr>
          <w:rFonts w:eastAsia="Calibri"/>
        </w:rPr>
        <w:t xml:space="preserve"> the volatility was </w:t>
      </w:r>
      <w:r w:rsidR="00F23C2E" w:rsidRPr="00DE68A1">
        <w:rPr>
          <w:rFonts w:eastAsia="Calibri"/>
        </w:rPr>
        <w:t xml:space="preserve">moderate </w:t>
      </w:r>
      <w:r w:rsidR="00782DB9" w:rsidRPr="00DE68A1">
        <w:rPr>
          <w:rFonts w:eastAsia="Calibri"/>
        </w:rPr>
        <w:t xml:space="preserve">in the international financial markets with </w:t>
      </w:r>
      <w:r w:rsidR="009760B3" w:rsidRPr="00DE68A1">
        <w:rPr>
          <w:rFonts w:eastAsia="Calibri"/>
        </w:rPr>
        <w:t>stable</w:t>
      </w:r>
      <w:r w:rsidR="00782DB9" w:rsidRPr="00DE68A1">
        <w:rPr>
          <w:rFonts w:eastAsia="Calibri"/>
        </w:rPr>
        <w:t xml:space="preserve"> interest rates during </w:t>
      </w:r>
      <w:r w:rsidR="00637505" w:rsidRPr="00DE68A1">
        <w:rPr>
          <w:rFonts w:eastAsia="Calibri"/>
        </w:rPr>
        <w:t>FY2025</w:t>
      </w:r>
      <w:r w:rsidR="00782DB9" w:rsidRPr="00DE68A1">
        <w:rPr>
          <w:rFonts w:eastAsia="Calibri"/>
        </w:rPr>
        <w:t xml:space="preserve">. </w:t>
      </w:r>
      <w:r w:rsidR="00454AB6" w:rsidRPr="00DE68A1">
        <w:rPr>
          <w:rFonts w:eastAsia="Calibri"/>
        </w:rPr>
        <w:t>The IFRS9 allows consider</w:t>
      </w:r>
      <w:r w:rsidR="003B495E">
        <w:rPr>
          <w:rFonts w:eastAsia="Calibri"/>
        </w:rPr>
        <w:t>ing</w:t>
      </w:r>
      <w:r w:rsidR="00454AB6" w:rsidRPr="00DE68A1">
        <w:rPr>
          <w:rFonts w:eastAsia="Calibri"/>
        </w:rPr>
        <w:t xml:space="preserve"> the investment valuations (positive and negative) directly into Profit and Loss (P&amp;L) account. Based on the valuations of FY2</w:t>
      </w:r>
      <w:r w:rsidR="00072896" w:rsidRPr="00DE68A1">
        <w:rPr>
          <w:rFonts w:eastAsia="Calibri"/>
        </w:rPr>
        <w:t>5</w:t>
      </w:r>
      <w:r w:rsidR="00454AB6" w:rsidRPr="00DE68A1">
        <w:rPr>
          <w:rFonts w:eastAsia="Calibri"/>
        </w:rPr>
        <w:t xml:space="preserve">, the profits of Direct Investment are booked straight into P&amp;L </w:t>
      </w:r>
      <w:r w:rsidR="005C1814" w:rsidRPr="00DE68A1">
        <w:rPr>
          <w:rFonts w:eastAsia="Calibri"/>
        </w:rPr>
        <w:t>account</w:t>
      </w:r>
      <w:r w:rsidR="00782DB9" w:rsidRPr="00DE68A1">
        <w:rPr>
          <w:rFonts w:eastAsia="Calibri"/>
        </w:rPr>
        <w:t xml:space="preserve">. </w:t>
      </w:r>
      <w:r w:rsidR="00454AB6" w:rsidRPr="00DE68A1">
        <w:rPr>
          <w:rFonts w:eastAsia="Calibri"/>
        </w:rPr>
        <w:t xml:space="preserve"> </w:t>
      </w:r>
    </w:p>
    <w:bookmarkEnd w:id="1"/>
    <w:p w14:paraId="0169F62C" w14:textId="3A1AFAC6" w:rsidR="00CD4BC7" w:rsidRPr="00DE68A1" w:rsidRDefault="00D63F77" w:rsidP="000422B9">
      <w:pPr>
        <w:bidi w:val="0"/>
        <w:rPr>
          <w:b/>
          <w:bCs/>
        </w:rPr>
      </w:pPr>
      <w:r w:rsidRPr="00DE68A1">
        <w:rPr>
          <w:b/>
          <w:bCs/>
        </w:rPr>
        <w:t>Risk Rating by External Rating Agencies:</w:t>
      </w:r>
    </w:p>
    <w:p w14:paraId="5915B200" w14:textId="77777777" w:rsidR="00CD4BC7" w:rsidRPr="00DE68A1" w:rsidRDefault="00CD4BC7" w:rsidP="00CD4BC7">
      <w:pPr>
        <w:bidi w:val="0"/>
        <w:rPr>
          <w:b/>
          <w:bCs/>
        </w:rPr>
      </w:pPr>
    </w:p>
    <w:p w14:paraId="305A96CC" w14:textId="3810851A" w:rsidR="003034F5" w:rsidRPr="00DE68A1" w:rsidRDefault="008D1FD9" w:rsidP="007B5B82">
      <w:pPr>
        <w:autoSpaceDE w:val="0"/>
        <w:autoSpaceDN w:val="0"/>
        <w:bidi w:val="0"/>
        <w:adjustRightInd w:val="0"/>
        <w:jc w:val="both"/>
      </w:pPr>
      <w:r w:rsidRPr="00DE68A1">
        <w:t xml:space="preserve">During </w:t>
      </w:r>
      <w:r w:rsidR="00E01875" w:rsidRPr="00DE68A1">
        <w:t>202</w:t>
      </w:r>
      <w:r w:rsidR="00072896" w:rsidRPr="00DE68A1">
        <w:t>5</w:t>
      </w:r>
      <w:r w:rsidR="00BC158C" w:rsidRPr="00DE68A1">
        <w:t xml:space="preserve">, </w:t>
      </w:r>
      <w:r w:rsidR="0043528D" w:rsidRPr="00DE68A1">
        <w:t xml:space="preserve">the international rating agency Fitch </w:t>
      </w:r>
      <w:r w:rsidR="00135F08" w:rsidRPr="00DE68A1">
        <w:t>re</w:t>
      </w:r>
      <w:r w:rsidR="00AA0ECB" w:rsidRPr="00DE68A1">
        <w:t xml:space="preserve">affirmed </w:t>
      </w:r>
      <w:r w:rsidR="0043528D" w:rsidRPr="00DE68A1">
        <w:t xml:space="preserve">the </w:t>
      </w:r>
      <w:r w:rsidR="008B64A1" w:rsidRPr="00DE68A1">
        <w:t xml:space="preserve">rating of the </w:t>
      </w:r>
      <w:r w:rsidR="0043528D" w:rsidRPr="00DE68A1">
        <w:t>Industrial Bank of Kuwait</w:t>
      </w:r>
      <w:r w:rsidR="008B64A1" w:rsidRPr="00DE68A1">
        <w:t xml:space="preserve"> as </w:t>
      </w:r>
      <w:r w:rsidR="00D63F77" w:rsidRPr="00DE68A1">
        <w:t>shown</w:t>
      </w:r>
      <w:r w:rsidR="008B64A1" w:rsidRPr="00DE68A1">
        <w:t xml:space="preserve"> below:</w:t>
      </w:r>
      <w:r w:rsidR="00AA0ECB" w:rsidRPr="00DE68A1">
        <w:t xml:space="preserve"> </w:t>
      </w:r>
    </w:p>
    <w:p w14:paraId="3AE4D541" w14:textId="77777777" w:rsidR="00F52ADB" w:rsidRPr="00DE68A1" w:rsidRDefault="00F52ADB" w:rsidP="003034F5">
      <w:pPr>
        <w:autoSpaceDE w:val="0"/>
        <w:autoSpaceDN w:val="0"/>
        <w:bidi w:val="0"/>
        <w:adjustRightInd w:val="0"/>
        <w:jc w:val="both"/>
        <w:rPr>
          <w:b/>
          <w:bCs/>
        </w:rPr>
      </w:pPr>
    </w:p>
    <w:p w14:paraId="2DF33E3C" w14:textId="5E92A585" w:rsidR="008B64A1" w:rsidRPr="00DE68A1" w:rsidRDefault="008B64A1" w:rsidP="00F52ADB">
      <w:pPr>
        <w:autoSpaceDE w:val="0"/>
        <w:autoSpaceDN w:val="0"/>
        <w:bidi w:val="0"/>
        <w:adjustRightInd w:val="0"/>
        <w:jc w:val="both"/>
        <w:rPr>
          <w:b/>
          <w:bCs/>
        </w:rPr>
      </w:pPr>
      <w:r w:rsidRPr="00DE68A1">
        <w:rPr>
          <w:b/>
          <w:bCs/>
        </w:rPr>
        <w:t>Fitch Ratings:</w:t>
      </w:r>
    </w:p>
    <w:p w14:paraId="1936399B" w14:textId="77777777" w:rsidR="008B64A1" w:rsidRPr="00DE68A1" w:rsidRDefault="008B64A1" w:rsidP="008B64A1">
      <w:pPr>
        <w:autoSpaceDE w:val="0"/>
        <w:autoSpaceDN w:val="0"/>
        <w:bidi w:val="0"/>
        <w:adjustRightInd w:val="0"/>
        <w:jc w:val="both"/>
        <w:rPr>
          <w:b/>
          <w:bCs/>
        </w:rPr>
      </w:pPr>
      <w:r w:rsidRPr="00DE68A1">
        <w:rPr>
          <w:b/>
          <w:bCs/>
        </w:rPr>
        <w:t>Foreign Currency</w:t>
      </w:r>
    </w:p>
    <w:p w14:paraId="504CBDD5" w14:textId="616FFFFD" w:rsidR="008B64A1" w:rsidRPr="00DE68A1" w:rsidRDefault="008B64A1" w:rsidP="008B64A1">
      <w:pPr>
        <w:autoSpaceDE w:val="0"/>
        <w:autoSpaceDN w:val="0"/>
        <w:bidi w:val="0"/>
        <w:adjustRightInd w:val="0"/>
        <w:jc w:val="both"/>
      </w:pPr>
      <w:r w:rsidRPr="00DE68A1">
        <w:t xml:space="preserve">Long Term IDR </w:t>
      </w:r>
      <w:r w:rsidRPr="00DE68A1">
        <w:tab/>
      </w:r>
      <w:r w:rsidRPr="00DE68A1">
        <w:tab/>
      </w:r>
      <w:r w:rsidRPr="00DE68A1">
        <w:tab/>
      </w:r>
      <w:r w:rsidRPr="00DE68A1">
        <w:tab/>
      </w:r>
      <w:r w:rsidRPr="00DE68A1">
        <w:tab/>
      </w:r>
      <w:r w:rsidRPr="00DE68A1">
        <w:tab/>
        <w:t>A</w:t>
      </w:r>
    </w:p>
    <w:p w14:paraId="2B1B7C02" w14:textId="77777777" w:rsidR="008B64A1" w:rsidRPr="00DE68A1" w:rsidRDefault="008B64A1" w:rsidP="008B64A1">
      <w:pPr>
        <w:autoSpaceDE w:val="0"/>
        <w:autoSpaceDN w:val="0"/>
        <w:bidi w:val="0"/>
        <w:adjustRightInd w:val="0"/>
        <w:jc w:val="both"/>
      </w:pPr>
      <w:r w:rsidRPr="00DE68A1">
        <w:t xml:space="preserve">Short Term IDR </w:t>
      </w:r>
      <w:r w:rsidRPr="00DE68A1">
        <w:tab/>
      </w:r>
      <w:r w:rsidRPr="00DE68A1">
        <w:tab/>
      </w:r>
      <w:r w:rsidRPr="00DE68A1">
        <w:tab/>
      </w:r>
      <w:r w:rsidRPr="00DE68A1">
        <w:tab/>
      </w:r>
      <w:r w:rsidRPr="00DE68A1">
        <w:tab/>
      </w:r>
      <w:r w:rsidRPr="00DE68A1">
        <w:tab/>
        <w:t>F1</w:t>
      </w:r>
    </w:p>
    <w:p w14:paraId="05218ABA" w14:textId="7D8FBD48" w:rsidR="008B64A1" w:rsidRPr="00DE68A1" w:rsidRDefault="008B64A1" w:rsidP="008B64A1">
      <w:pPr>
        <w:autoSpaceDE w:val="0"/>
        <w:autoSpaceDN w:val="0"/>
        <w:bidi w:val="0"/>
        <w:adjustRightInd w:val="0"/>
        <w:jc w:val="both"/>
      </w:pPr>
      <w:r w:rsidRPr="00DE68A1">
        <w:t xml:space="preserve">Support Rating </w:t>
      </w:r>
      <w:r w:rsidRPr="00DE68A1">
        <w:tab/>
      </w:r>
      <w:r w:rsidRPr="00DE68A1">
        <w:tab/>
      </w:r>
      <w:r w:rsidRPr="00DE68A1">
        <w:tab/>
      </w:r>
      <w:r w:rsidRPr="00DE68A1">
        <w:tab/>
      </w:r>
      <w:r w:rsidRPr="00DE68A1">
        <w:tab/>
      </w:r>
      <w:r w:rsidRPr="00DE68A1">
        <w:tab/>
      </w:r>
      <w:r w:rsidR="00C24B55" w:rsidRPr="00DE68A1">
        <w:t>‘</w:t>
      </w:r>
      <w:r w:rsidR="008C26D6" w:rsidRPr="00DE68A1">
        <w:t>a’</w:t>
      </w:r>
    </w:p>
    <w:p w14:paraId="41AC9E50" w14:textId="77777777" w:rsidR="008B64A1" w:rsidRPr="00DE68A1" w:rsidRDefault="008B64A1" w:rsidP="008B64A1">
      <w:pPr>
        <w:autoSpaceDE w:val="0"/>
        <w:autoSpaceDN w:val="0"/>
        <w:bidi w:val="0"/>
        <w:adjustRightInd w:val="0"/>
        <w:jc w:val="both"/>
      </w:pPr>
    </w:p>
    <w:p w14:paraId="164235B6" w14:textId="77777777" w:rsidR="008B64A1" w:rsidRPr="00DE68A1" w:rsidRDefault="008B64A1" w:rsidP="008B64A1">
      <w:pPr>
        <w:autoSpaceDE w:val="0"/>
        <w:autoSpaceDN w:val="0"/>
        <w:bidi w:val="0"/>
        <w:adjustRightInd w:val="0"/>
        <w:jc w:val="both"/>
        <w:rPr>
          <w:b/>
          <w:bCs/>
        </w:rPr>
      </w:pPr>
      <w:r w:rsidRPr="00DE68A1">
        <w:rPr>
          <w:b/>
          <w:bCs/>
        </w:rPr>
        <w:t>Sovereign Risk</w:t>
      </w:r>
    </w:p>
    <w:p w14:paraId="05134802" w14:textId="59884F4D" w:rsidR="008B64A1" w:rsidRPr="00DE68A1" w:rsidRDefault="008B64A1" w:rsidP="008B64A1">
      <w:pPr>
        <w:autoSpaceDE w:val="0"/>
        <w:autoSpaceDN w:val="0"/>
        <w:bidi w:val="0"/>
        <w:adjustRightInd w:val="0"/>
        <w:jc w:val="both"/>
      </w:pPr>
      <w:r w:rsidRPr="00DE68A1">
        <w:t xml:space="preserve">Foreign Currency Long Term IDR </w:t>
      </w:r>
      <w:r w:rsidRPr="00DE68A1">
        <w:tab/>
      </w:r>
      <w:r w:rsidRPr="00DE68A1">
        <w:tab/>
      </w:r>
      <w:r w:rsidRPr="00DE68A1">
        <w:tab/>
      </w:r>
      <w:r w:rsidRPr="00DE68A1">
        <w:tab/>
        <w:t>AA</w:t>
      </w:r>
      <w:r w:rsidR="00A76B76" w:rsidRPr="00DE68A1">
        <w:t>-</w:t>
      </w:r>
    </w:p>
    <w:p w14:paraId="4FBE33BE" w14:textId="5D57312F" w:rsidR="008B64A1" w:rsidRPr="00DE68A1" w:rsidRDefault="008B64A1" w:rsidP="008B64A1">
      <w:pPr>
        <w:autoSpaceDE w:val="0"/>
        <w:autoSpaceDN w:val="0"/>
        <w:bidi w:val="0"/>
        <w:adjustRightInd w:val="0"/>
        <w:jc w:val="both"/>
      </w:pPr>
      <w:r w:rsidRPr="00DE68A1">
        <w:t xml:space="preserve">Local Currency Long Term IDR </w:t>
      </w:r>
      <w:r w:rsidRPr="00DE68A1">
        <w:tab/>
      </w:r>
      <w:r w:rsidRPr="00DE68A1">
        <w:tab/>
      </w:r>
      <w:r w:rsidRPr="00DE68A1">
        <w:tab/>
      </w:r>
      <w:r w:rsidRPr="00DE68A1">
        <w:tab/>
        <w:t>AA</w:t>
      </w:r>
      <w:r w:rsidR="00A76B76" w:rsidRPr="00DE68A1">
        <w:t>-</w:t>
      </w:r>
    </w:p>
    <w:p w14:paraId="2EF834DE" w14:textId="77777777" w:rsidR="000D252E" w:rsidRPr="00DE68A1" w:rsidRDefault="000D252E" w:rsidP="000D252E">
      <w:pPr>
        <w:autoSpaceDE w:val="0"/>
        <w:autoSpaceDN w:val="0"/>
        <w:bidi w:val="0"/>
        <w:adjustRightInd w:val="0"/>
        <w:jc w:val="both"/>
      </w:pPr>
    </w:p>
    <w:p w14:paraId="0310E3D9" w14:textId="77777777" w:rsidR="008B64A1" w:rsidRPr="00DE68A1" w:rsidRDefault="008B64A1" w:rsidP="008B64A1">
      <w:pPr>
        <w:autoSpaceDE w:val="0"/>
        <w:autoSpaceDN w:val="0"/>
        <w:bidi w:val="0"/>
        <w:adjustRightInd w:val="0"/>
        <w:jc w:val="both"/>
        <w:rPr>
          <w:b/>
          <w:bCs/>
        </w:rPr>
      </w:pPr>
      <w:r w:rsidRPr="00DE68A1">
        <w:rPr>
          <w:b/>
          <w:bCs/>
        </w:rPr>
        <w:t>Outlooks</w:t>
      </w:r>
    </w:p>
    <w:p w14:paraId="3A019BFA" w14:textId="72616D68" w:rsidR="008B64A1" w:rsidRPr="00DE68A1" w:rsidRDefault="008B64A1" w:rsidP="008B64A1">
      <w:pPr>
        <w:autoSpaceDE w:val="0"/>
        <w:autoSpaceDN w:val="0"/>
        <w:bidi w:val="0"/>
        <w:adjustRightInd w:val="0"/>
        <w:jc w:val="both"/>
      </w:pPr>
      <w:r w:rsidRPr="00DE68A1">
        <w:t xml:space="preserve">Foreign Currency Long Term IDR </w:t>
      </w:r>
      <w:r w:rsidRPr="00DE68A1">
        <w:tab/>
      </w:r>
      <w:r w:rsidRPr="00DE68A1">
        <w:tab/>
      </w:r>
      <w:r w:rsidRPr="00DE68A1">
        <w:tab/>
      </w:r>
      <w:r w:rsidRPr="00DE68A1">
        <w:tab/>
      </w:r>
      <w:r w:rsidR="005B2522" w:rsidRPr="00DE68A1">
        <w:t>Stable</w:t>
      </w:r>
    </w:p>
    <w:p w14:paraId="6AC99CBD" w14:textId="1EAF1EBA" w:rsidR="008B64A1" w:rsidRPr="00DE68A1" w:rsidRDefault="008B64A1" w:rsidP="008B64A1">
      <w:pPr>
        <w:autoSpaceDE w:val="0"/>
        <w:autoSpaceDN w:val="0"/>
        <w:bidi w:val="0"/>
        <w:adjustRightInd w:val="0"/>
        <w:jc w:val="both"/>
      </w:pPr>
      <w:r w:rsidRPr="00DE68A1">
        <w:t>Sovereign Foreign Currency Long Term IDR</w:t>
      </w:r>
      <w:r w:rsidRPr="00DE68A1">
        <w:tab/>
      </w:r>
      <w:r w:rsidRPr="00DE68A1">
        <w:tab/>
      </w:r>
      <w:r w:rsidR="005B2522" w:rsidRPr="00DE68A1">
        <w:t>Stable</w:t>
      </w:r>
    </w:p>
    <w:p w14:paraId="538EE41D" w14:textId="3F3A876F" w:rsidR="008B64A1" w:rsidRPr="00DE68A1" w:rsidRDefault="008B64A1" w:rsidP="008B64A1">
      <w:pPr>
        <w:autoSpaceDE w:val="0"/>
        <w:autoSpaceDN w:val="0"/>
        <w:bidi w:val="0"/>
        <w:adjustRightInd w:val="0"/>
        <w:jc w:val="both"/>
      </w:pPr>
      <w:r w:rsidRPr="00DE68A1">
        <w:t>Sovereign Local Currency Long Term IDR</w:t>
      </w:r>
      <w:r w:rsidRPr="00DE68A1">
        <w:tab/>
      </w:r>
      <w:r w:rsidRPr="00DE68A1">
        <w:tab/>
      </w:r>
      <w:r w:rsidRPr="00DE68A1">
        <w:tab/>
      </w:r>
      <w:r w:rsidR="005B2522" w:rsidRPr="00DE68A1">
        <w:t>Stable</w:t>
      </w:r>
    </w:p>
    <w:p w14:paraId="2BD20447" w14:textId="77777777" w:rsidR="008B64A1" w:rsidRPr="00DE68A1" w:rsidRDefault="008B64A1" w:rsidP="008B64A1">
      <w:pPr>
        <w:autoSpaceDE w:val="0"/>
        <w:autoSpaceDN w:val="0"/>
        <w:bidi w:val="0"/>
        <w:adjustRightInd w:val="0"/>
        <w:jc w:val="both"/>
      </w:pPr>
    </w:p>
    <w:p w14:paraId="5E5CD94F" w14:textId="436A7A33" w:rsidR="005471A0" w:rsidRPr="00DE68A1" w:rsidRDefault="00D63F77" w:rsidP="007A7387">
      <w:pPr>
        <w:bidi w:val="0"/>
        <w:spacing w:after="200" w:line="276" w:lineRule="auto"/>
        <w:jc w:val="both"/>
        <w:rPr>
          <w:rFonts w:eastAsia="Calibri"/>
        </w:rPr>
      </w:pPr>
      <w:r w:rsidRPr="00DE68A1">
        <w:rPr>
          <w:rFonts w:eastAsia="Calibri"/>
        </w:rPr>
        <w:t xml:space="preserve">Fitch comments that </w:t>
      </w:r>
      <w:r w:rsidR="00FF1093" w:rsidRPr="00DE68A1">
        <w:rPr>
          <w:rFonts w:eastAsia="Calibri"/>
        </w:rPr>
        <w:t xml:space="preserve">IBK's IDRs and Support rating reflect the extremely high probability of support from the government of Kuwait, in case of need. This is based on the government </w:t>
      </w:r>
      <w:r w:rsidR="003A0EAB" w:rsidRPr="00DE68A1">
        <w:rPr>
          <w:rFonts w:eastAsia="Calibri"/>
        </w:rPr>
        <w:t>of Kuwait’s</w:t>
      </w:r>
      <w:r w:rsidR="00FF1093" w:rsidRPr="00DE68A1">
        <w:rPr>
          <w:rFonts w:eastAsia="Calibri"/>
        </w:rPr>
        <w:t xml:space="preserve"> 49% direct ownership and 12% indirect ownership of IBK, as well as the long-term government funding provided for the bank's development activities. The ratings also </w:t>
      </w:r>
      <w:r w:rsidR="00E07797" w:rsidRPr="00DE68A1">
        <w:rPr>
          <w:rFonts w:eastAsia="Calibri"/>
        </w:rPr>
        <w:t>consider</w:t>
      </w:r>
      <w:r w:rsidR="00FF1093" w:rsidRPr="00DE68A1">
        <w:rPr>
          <w:rFonts w:eastAsia="Calibri"/>
        </w:rPr>
        <w:t xml:space="preserve"> the Kuwaiti authorities' long history of strong support for Kuwaiti banks. </w:t>
      </w:r>
    </w:p>
    <w:p w14:paraId="29C494BE" w14:textId="5EF86EF5" w:rsidR="00FF1093" w:rsidRPr="00DE68A1" w:rsidRDefault="00FF1093" w:rsidP="009867C3">
      <w:pPr>
        <w:autoSpaceDE w:val="0"/>
        <w:autoSpaceDN w:val="0"/>
        <w:bidi w:val="0"/>
        <w:adjustRightInd w:val="0"/>
        <w:jc w:val="both"/>
      </w:pPr>
      <w:r w:rsidRPr="00DE68A1">
        <w:t xml:space="preserve">The rating agency ‘Capital Intelligence’ reaffirmed their existing rating of IBK </w:t>
      </w:r>
      <w:r w:rsidR="005471A0" w:rsidRPr="00DE68A1">
        <w:t xml:space="preserve">at </w:t>
      </w:r>
      <w:r w:rsidR="00683C9E" w:rsidRPr="00DE68A1">
        <w:t>A+</w:t>
      </w:r>
      <w:r w:rsidR="005252F8" w:rsidRPr="00DE68A1">
        <w:t xml:space="preserve"> for </w:t>
      </w:r>
      <w:r w:rsidR="00E01875" w:rsidRPr="00DE68A1">
        <w:t>202</w:t>
      </w:r>
      <w:r w:rsidR="00072896" w:rsidRPr="00DE68A1">
        <w:t>5</w:t>
      </w:r>
      <w:r w:rsidR="009867C3" w:rsidRPr="00DE68A1">
        <w:t xml:space="preserve"> with</w:t>
      </w:r>
      <w:r w:rsidR="00C66E80" w:rsidRPr="00DE68A1">
        <w:t xml:space="preserve"> a </w:t>
      </w:r>
      <w:r w:rsidR="00C81D7A" w:rsidRPr="00DE68A1">
        <w:t>‘Stable’</w:t>
      </w:r>
      <w:r w:rsidR="00C66E80" w:rsidRPr="00DE68A1">
        <w:t xml:space="preserve"> outlook</w:t>
      </w:r>
      <w:r w:rsidRPr="00DE68A1">
        <w:t>. Their summary rating is as follows:</w:t>
      </w:r>
    </w:p>
    <w:p w14:paraId="758B0A7F" w14:textId="77777777" w:rsidR="00FF1093" w:rsidRPr="00DE68A1" w:rsidRDefault="00FF1093" w:rsidP="00CD20E9">
      <w:pPr>
        <w:autoSpaceDE w:val="0"/>
        <w:autoSpaceDN w:val="0"/>
        <w:bidi w:val="0"/>
        <w:adjustRightInd w:val="0"/>
        <w:jc w:val="both"/>
      </w:pPr>
    </w:p>
    <w:p w14:paraId="721EA34B" w14:textId="77777777" w:rsidR="00FF1093" w:rsidRPr="00DE68A1" w:rsidRDefault="00CD47E8" w:rsidP="00FF1093">
      <w:pPr>
        <w:autoSpaceDE w:val="0"/>
        <w:autoSpaceDN w:val="0"/>
        <w:bidi w:val="0"/>
        <w:adjustRightInd w:val="0"/>
        <w:rPr>
          <w:strike/>
          <w:color w:val="000000"/>
        </w:rPr>
      </w:pPr>
      <w:r w:rsidRPr="00DE68A1">
        <w:rPr>
          <w:color w:val="000000"/>
        </w:rPr>
        <w:t>Foreign Currency Long-term</w:t>
      </w:r>
      <w:r w:rsidRPr="00DE68A1">
        <w:rPr>
          <w:color w:val="000000"/>
        </w:rPr>
        <w:tab/>
      </w:r>
      <w:r w:rsidRPr="00DE68A1">
        <w:rPr>
          <w:color w:val="000000"/>
        </w:rPr>
        <w:tab/>
        <w:t>A</w:t>
      </w:r>
      <w:r w:rsidR="00F905EA" w:rsidRPr="00DE68A1">
        <w:rPr>
          <w:color w:val="000000"/>
        </w:rPr>
        <w:t>+</w:t>
      </w:r>
      <w:r w:rsidR="004D277C" w:rsidRPr="00DE68A1">
        <w:rPr>
          <w:color w:val="000000"/>
        </w:rPr>
        <w:t xml:space="preserve"> </w:t>
      </w:r>
    </w:p>
    <w:p w14:paraId="1C6B6983" w14:textId="151E8794" w:rsidR="00CD47E8" w:rsidRPr="00DE68A1" w:rsidRDefault="003E4BC2" w:rsidP="00CD47E8">
      <w:pPr>
        <w:autoSpaceDE w:val="0"/>
        <w:autoSpaceDN w:val="0"/>
        <w:bidi w:val="0"/>
        <w:adjustRightInd w:val="0"/>
        <w:rPr>
          <w:color w:val="000000"/>
        </w:rPr>
      </w:pPr>
      <w:r w:rsidRPr="00DE68A1">
        <w:rPr>
          <w:color w:val="000000"/>
        </w:rPr>
        <w:t>Foreign Currency Short Term</w:t>
      </w:r>
      <w:r w:rsidRPr="00DE68A1">
        <w:rPr>
          <w:color w:val="000000"/>
        </w:rPr>
        <w:tab/>
      </w:r>
      <w:r w:rsidRPr="00DE68A1">
        <w:rPr>
          <w:color w:val="000000"/>
        </w:rPr>
        <w:tab/>
        <w:t>A1</w:t>
      </w:r>
    </w:p>
    <w:p w14:paraId="5FBB8467" w14:textId="101B5F61" w:rsidR="00CD47E8" w:rsidRPr="00DE68A1" w:rsidRDefault="003E4BC2" w:rsidP="00CD47E8">
      <w:pPr>
        <w:autoSpaceDE w:val="0"/>
        <w:autoSpaceDN w:val="0"/>
        <w:bidi w:val="0"/>
        <w:adjustRightInd w:val="0"/>
        <w:rPr>
          <w:color w:val="000000"/>
        </w:rPr>
      </w:pPr>
      <w:r w:rsidRPr="00DE68A1">
        <w:rPr>
          <w:color w:val="000000"/>
        </w:rPr>
        <w:t>Financial Strength</w:t>
      </w:r>
      <w:r w:rsidRPr="00DE68A1">
        <w:rPr>
          <w:color w:val="000000"/>
        </w:rPr>
        <w:tab/>
      </w:r>
      <w:r w:rsidRPr="00DE68A1">
        <w:rPr>
          <w:color w:val="000000"/>
        </w:rPr>
        <w:tab/>
      </w:r>
      <w:r w:rsidRPr="00DE68A1">
        <w:rPr>
          <w:color w:val="000000"/>
        </w:rPr>
        <w:tab/>
      </w:r>
      <w:r w:rsidR="00AF0724" w:rsidRPr="00DE68A1">
        <w:rPr>
          <w:color w:val="000000"/>
        </w:rPr>
        <w:t>BBB</w:t>
      </w:r>
      <w:r w:rsidRPr="00DE68A1">
        <w:rPr>
          <w:color w:val="000000"/>
        </w:rPr>
        <w:t>+</w:t>
      </w:r>
    </w:p>
    <w:p w14:paraId="42CA0622" w14:textId="587396B6" w:rsidR="00CD47E8" w:rsidRPr="00DE68A1" w:rsidRDefault="00CD47E8" w:rsidP="00683C9E">
      <w:pPr>
        <w:autoSpaceDE w:val="0"/>
        <w:autoSpaceDN w:val="0"/>
        <w:bidi w:val="0"/>
        <w:adjustRightInd w:val="0"/>
        <w:rPr>
          <w:color w:val="000000"/>
        </w:rPr>
      </w:pPr>
      <w:r w:rsidRPr="00DE68A1">
        <w:rPr>
          <w:color w:val="000000"/>
        </w:rPr>
        <w:t>Outlook – Foreign Currency</w:t>
      </w:r>
      <w:r w:rsidRPr="00DE68A1">
        <w:rPr>
          <w:color w:val="000000"/>
        </w:rPr>
        <w:tab/>
      </w:r>
      <w:r w:rsidRPr="00DE68A1">
        <w:rPr>
          <w:color w:val="000000"/>
        </w:rPr>
        <w:tab/>
        <w:t>Stable</w:t>
      </w:r>
    </w:p>
    <w:p w14:paraId="5B5A21EA" w14:textId="77777777" w:rsidR="001D52E5" w:rsidRPr="00DE68A1" w:rsidRDefault="00CD47E8" w:rsidP="001D52E5">
      <w:pPr>
        <w:autoSpaceDE w:val="0"/>
        <w:autoSpaceDN w:val="0"/>
        <w:bidi w:val="0"/>
        <w:adjustRightInd w:val="0"/>
        <w:rPr>
          <w:color w:val="000000"/>
        </w:rPr>
      </w:pPr>
      <w:r w:rsidRPr="00DE68A1">
        <w:rPr>
          <w:color w:val="000000"/>
        </w:rPr>
        <w:t>Outlook – Financial Strength</w:t>
      </w:r>
      <w:r w:rsidRPr="00DE68A1">
        <w:rPr>
          <w:color w:val="000000"/>
        </w:rPr>
        <w:tab/>
      </w:r>
      <w:r w:rsidRPr="00DE68A1">
        <w:rPr>
          <w:color w:val="000000"/>
        </w:rPr>
        <w:tab/>
      </w:r>
      <w:r w:rsidR="001D52E5" w:rsidRPr="00DE68A1">
        <w:t>Stable</w:t>
      </w:r>
      <w:r w:rsidR="001D52E5" w:rsidRPr="00DE68A1">
        <w:rPr>
          <w:color w:val="000000"/>
        </w:rPr>
        <w:tab/>
      </w:r>
    </w:p>
    <w:p w14:paraId="2BD3E680" w14:textId="77777777" w:rsidR="001D52E5" w:rsidRPr="00DE68A1" w:rsidRDefault="001D52E5" w:rsidP="003A0EAB">
      <w:pPr>
        <w:tabs>
          <w:tab w:val="left" w:pos="450"/>
        </w:tabs>
        <w:autoSpaceDE w:val="0"/>
        <w:autoSpaceDN w:val="0"/>
        <w:bidi w:val="0"/>
        <w:adjustRightInd w:val="0"/>
        <w:ind w:left="450" w:hanging="270"/>
        <w:rPr>
          <w:color w:val="000000"/>
        </w:rPr>
      </w:pPr>
    </w:p>
    <w:p w14:paraId="7B3E83D4" w14:textId="30C5E85E" w:rsidR="003034F5" w:rsidRPr="00DE68A1" w:rsidRDefault="00D63F77" w:rsidP="002A1769">
      <w:pPr>
        <w:autoSpaceDE w:val="0"/>
        <w:autoSpaceDN w:val="0"/>
        <w:bidi w:val="0"/>
        <w:adjustRightInd w:val="0"/>
        <w:jc w:val="both"/>
        <w:rPr>
          <w:b/>
          <w:bCs/>
          <w:color w:val="000000"/>
          <w:sz w:val="28"/>
          <w:szCs w:val="28"/>
        </w:rPr>
      </w:pPr>
      <w:r w:rsidRPr="00DE68A1">
        <w:rPr>
          <w:b/>
          <w:bCs/>
          <w:color w:val="000000"/>
          <w:sz w:val="28"/>
          <w:szCs w:val="28"/>
        </w:rPr>
        <w:t xml:space="preserve">Basel </w:t>
      </w:r>
      <w:r w:rsidR="00010B2B" w:rsidRPr="00DE68A1">
        <w:rPr>
          <w:b/>
          <w:bCs/>
          <w:color w:val="000000"/>
          <w:sz w:val="28"/>
          <w:szCs w:val="28"/>
        </w:rPr>
        <w:t>III</w:t>
      </w:r>
      <w:r w:rsidRPr="00DE68A1">
        <w:rPr>
          <w:b/>
          <w:bCs/>
          <w:color w:val="000000"/>
          <w:sz w:val="28"/>
          <w:szCs w:val="28"/>
        </w:rPr>
        <w:t xml:space="preserve"> Pillar 3 Consolidated Disclosures:</w:t>
      </w:r>
      <w:r w:rsidR="00CD47E8" w:rsidRPr="00DE68A1">
        <w:rPr>
          <w:b/>
          <w:bCs/>
          <w:color w:val="000000"/>
          <w:sz w:val="28"/>
          <w:szCs w:val="28"/>
        </w:rPr>
        <w:tab/>
      </w:r>
    </w:p>
    <w:p w14:paraId="28545939" w14:textId="77777777" w:rsidR="003034F5" w:rsidRPr="00DE68A1" w:rsidRDefault="003034F5" w:rsidP="003034F5">
      <w:pPr>
        <w:autoSpaceDE w:val="0"/>
        <w:autoSpaceDN w:val="0"/>
        <w:bidi w:val="0"/>
        <w:adjustRightInd w:val="0"/>
        <w:rPr>
          <w:color w:val="000000"/>
        </w:rPr>
      </w:pPr>
    </w:p>
    <w:p w14:paraId="46EFA743" w14:textId="77777777" w:rsidR="00795C50" w:rsidRPr="00DE68A1" w:rsidRDefault="00795C50" w:rsidP="00795C50">
      <w:pPr>
        <w:autoSpaceDE w:val="0"/>
        <w:autoSpaceDN w:val="0"/>
        <w:bidi w:val="0"/>
        <w:adjustRightInd w:val="0"/>
        <w:rPr>
          <w:b/>
          <w:bCs/>
          <w:color w:val="000000"/>
        </w:rPr>
      </w:pPr>
      <w:r w:rsidRPr="00DE68A1">
        <w:rPr>
          <w:b/>
          <w:bCs/>
          <w:color w:val="000000"/>
        </w:rPr>
        <w:t xml:space="preserve">Overview of Basel </w:t>
      </w:r>
      <w:r w:rsidR="00010B2B" w:rsidRPr="00DE68A1">
        <w:rPr>
          <w:b/>
          <w:bCs/>
          <w:color w:val="000000"/>
        </w:rPr>
        <w:t>III</w:t>
      </w:r>
      <w:r w:rsidRPr="00DE68A1">
        <w:rPr>
          <w:b/>
          <w:bCs/>
          <w:color w:val="000000"/>
        </w:rPr>
        <w:t xml:space="preserve"> and Pillar 3</w:t>
      </w:r>
      <w:r w:rsidR="001F08C1" w:rsidRPr="00DE68A1">
        <w:rPr>
          <w:b/>
          <w:bCs/>
          <w:color w:val="000000"/>
        </w:rPr>
        <w:t>:</w:t>
      </w:r>
    </w:p>
    <w:p w14:paraId="72F0A115" w14:textId="77777777" w:rsidR="00536413" w:rsidRPr="00DE68A1" w:rsidRDefault="00536413" w:rsidP="00536413">
      <w:pPr>
        <w:autoSpaceDE w:val="0"/>
        <w:autoSpaceDN w:val="0"/>
        <w:bidi w:val="0"/>
        <w:adjustRightInd w:val="0"/>
        <w:rPr>
          <w:b/>
          <w:bCs/>
          <w:color w:val="000000"/>
        </w:rPr>
      </w:pPr>
    </w:p>
    <w:p w14:paraId="1460AA7A" w14:textId="0E2A0C50" w:rsidR="00795C50" w:rsidRPr="00DE68A1" w:rsidRDefault="00795C50" w:rsidP="00F10211">
      <w:pPr>
        <w:autoSpaceDE w:val="0"/>
        <w:autoSpaceDN w:val="0"/>
        <w:bidi w:val="0"/>
        <w:adjustRightInd w:val="0"/>
        <w:jc w:val="both"/>
      </w:pPr>
      <w:r w:rsidRPr="00DE68A1">
        <w:t xml:space="preserve">Since </w:t>
      </w:r>
      <w:r w:rsidR="00536413" w:rsidRPr="00DE68A1">
        <w:t>December 2005</w:t>
      </w:r>
      <w:r w:rsidRPr="00DE68A1">
        <w:t xml:space="preserve">, </w:t>
      </w:r>
      <w:r w:rsidR="00536413" w:rsidRPr="00DE68A1">
        <w:t xml:space="preserve">The Industrial Bank of </w:t>
      </w:r>
      <w:r w:rsidR="00604B56" w:rsidRPr="00DE68A1">
        <w:t>Kuwait has</w:t>
      </w:r>
      <w:r w:rsidRPr="00DE68A1">
        <w:t xml:space="preserve"> applied the Basel</w:t>
      </w:r>
      <w:r w:rsidR="009867C3" w:rsidRPr="00DE68A1">
        <w:t xml:space="preserve"> </w:t>
      </w:r>
      <w:r w:rsidRPr="00DE68A1">
        <w:t xml:space="preserve">framework as part of its </w:t>
      </w:r>
      <w:r w:rsidR="00536413" w:rsidRPr="00DE68A1">
        <w:t xml:space="preserve">risk and </w:t>
      </w:r>
      <w:r w:rsidRPr="00DE68A1">
        <w:t>capital management strategy. The accord is made up of three</w:t>
      </w:r>
      <w:r w:rsidR="00536413" w:rsidRPr="00DE68A1">
        <w:t xml:space="preserve"> </w:t>
      </w:r>
      <w:r w:rsidRPr="00DE68A1">
        <w:t>pillars:</w:t>
      </w:r>
    </w:p>
    <w:p w14:paraId="5B78C9EF" w14:textId="77777777" w:rsidR="00536413" w:rsidRPr="00DE68A1" w:rsidRDefault="00536413" w:rsidP="00CD20E9">
      <w:pPr>
        <w:autoSpaceDE w:val="0"/>
        <w:autoSpaceDN w:val="0"/>
        <w:bidi w:val="0"/>
        <w:adjustRightInd w:val="0"/>
        <w:jc w:val="both"/>
      </w:pPr>
    </w:p>
    <w:p w14:paraId="43E7B7D5" w14:textId="77777777" w:rsidR="00536413" w:rsidRPr="00DE68A1" w:rsidRDefault="00795C50" w:rsidP="007A7387">
      <w:pPr>
        <w:pStyle w:val="ListParagraph"/>
        <w:numPr>
          <w:ilvl w:val="0"/>
          <w:numId w:val="32"/>
        </w:numPr>
        <w:bidi w:val="0"/>
        <w:spacing w:after="200" w:line="276" w:lineRule="auto"/>
        <w:jc w:val="both"/>
        <w:rPr>
          <w:rFonts w:eastAsia="Calibri"/>
        </w:rPr>
      </w:pPr>
      <w:r w:rsidRPr="00DE68A1">
        <w:rPr>
          <w:rFonts w:eastAsia="Calibri"/>
        </w:rPr>
        <w:t xml:space="preserve">Pillar 1 covers the calculation of risk-weighted assets for credit risk, market risk </w:t>
      </w:r>
      <w:r w:rsidR="003A0EAB" w:rsidRPr="00DE68A1">
        <w:rPr>
          <w:rFonts w:eastAsia="Calibri"/>
        </w:rPr>
        <w:t>and operational</w:t>
      </w:r>
      <w:r w:rsidRPr="00DE68A1">
        <w:rPr>
          <w:rFonts w:eastAsia="Calibri"/>
        </w:rPr>
        <w:t xml:space="preserve"> risk.</w:t>
      </w:r>
    </w:p>
    <w:p w14:paraId="2B843056" w14:textId="63E69485" w:rsidR="00536413" w:rsidRPr="00DE68A1" w:rsidRDefault="00795C50" w:rsidP="007A7387">
      <w:pPr>
        <w:pStyle w:val="ListParagraph"/>
        <w:numPr>
          <w:ilvl w:val="0"/>
          <w:numId w:val="32"/>
        </w:numPr>
        <w:bidi w:val="0"/>
        <w:spacing w:after="200" w:line="276" w:lineRule="auto"/>
        <w:jc w:val="both"/>
        <w:rPr>
          <w:rFonts w:eastAsia="Calibri"/>
        </w:rPr>
      </w:pPr>
      <w:r w:rsidRPr="00DE68A1">
        <w:rPr>
          <w:rFonts w:eastAsia="Calibri"/>
        </w:rPr>
        <w:t>Pillar 2 allows firms and supervisors to take a view on whether the firm should hold</w:t>
      </w:r>
      <w:r w:rsidR="003A0EAB" w:rsidRPr="00DE68A1">
        <w:rPr>
          <w:rFonts w:eastAsia="Calibri"/>
        </w:rPr>
        <w:t xml:space="preserve"> </w:t>
      </w:r>
      <w:r w:rsidRPr="00DE68A1">
        <w:rPr>
          <w:rFonts w:eastAsia="Calibri"/>
        </w:rPr>
        <w:t>additional capital to cover the three Pillar</w:t>
      </w:r>
      <w:r w:rsidR="00536413" w:rsidRPr="00DE68A1">
        <w:rPr>
          <w:rFonts w:eastAsia="Calibri"/>
        </w:rPr>
        <w:t xml:space="preserve"> </w:t>
      </w:r>
      <w:r w:rsidRPr="00DE68A1">
        <w:rPr>
          <w:rFonts w:eastAsia="Calibri"/>
        </w:rPr>
        <w:t>1 risk types, or to cover other risks. A firm’</w:t>
      </w:r>
      <w:r w:rsidR="003A0EAB" w:rsidRPr="00DE68A1">
        <w:rPr>
          <w:rFonts w:eastAsia="Calibri"/>
        </w:rPr>
        <w:t xml:space="preserve"> </w:t>
      </w:r>
      <w:r w:rsidRPr="00DE68A1">
        <w:rPr>
          <w:rFonts w:eastAsia="Calibri"/>
        </w:rPr>
        <w:t xml:space="preserve">own internal models and assessments support this </w:t>
      </w:r>
      <w:r w:rsidR="00DE68A1" w:rsidRPr="00DE68A1">
        <w:rPr>
          <w:rFonts w:eastAsia="Calibri"/>
        </w:rPr>
        <w:t>process,</w:t>
      </w:r>
      <w:r w:rsidR="00536413" w:rsidRPr="00DE68A1">
        <w:rPr>
          <w:rFonts w:eastAsia="Calibri"/>
        </w:rPr>
        <w:t xml:space="preserve"> which is interactive between </w:t>
      </w:r>
      <w:r w:rsidR="003A0EAB" w:rsidRPr="00DE68A1">
        <w:rPr>
          <w:rFonts w:eastAsia="Calibri"/>
        </w:rPr>
        <w:t xml:space="preserve">the Bank and its </w:t>
      </w:r>
      <w:r w:rsidR="00536413" w:rsidRPr="00DE68A1">
        <w:rPr>
          <w:rFonts w:eastAsia="Calibri"/>
        </w:rPr>
        <w:t>regulator, the Central Bank of Kuwait.</w:t>
      </w:r>
    </w:p>
    <w:p w14:paraId="093F1170" w14:textId="77777777" w:rsidR="00795C50" w:rsidRPr="00DE68A1" w:rsidRDefault="00795C50" w:rsidP="007A7387">
      <w:pPr>
        <w:pStyle w:val="ListParagraph"/>
        <w:numPr>
          <w:ilvl w:val="0"/>
          <w:numId w:val="32"/>
        </w:numPr>
        <w:bidi w:val="0"/>
        <w:spacing w:after="200" w:line="276" w:lineRule="auto"/>
        <w:jc w:val="both"/>
        <w:rPr>
          <w:rFonts w:eastAsia="Calibri"/>
        </w:rPr>
      </w:pPr>
      <w:r w:rsidRPr="00DE68A1">
        <w:rPr>
          <w:rFonts w:eastAsia="Calibri"/>
        </w:rPr>
        <w:t>Pillar 3 covers external communication of risk and capital information by banks.</w:t>
      </w:r>
    </w:p>
    <w:p w14:paraId="54E3D1B5" w14:textId="6BEE0135" w:rsidR="00795C50" w:rsidRPr="00DE68A1" w:rsidRDefault="00C66E80" w:rsidP="00CD20E9">
      <w:pPr>
        <w:autoSpaceDE w:val="0"/>
        <w:autoSpaceDN w:val="0"/>
        <w:bidi w:val="0"/>
        <w:adjustRightInd w:val="0"/>
        <w:jc w:val="both"/>
      </w:pPr>
      <w:r w:rsidRPr="00DE68A1">
        <w:t xml:space="preserve">The Basel guidelines </w:t>
      </w:r>
      <w:r w:rsidR="00DE68A1" w:rsidRPr="00DE68A1">
        <w:t>provide</w:t>
      </w:r>
      <w:r w:rsidR="00795C50" w:rsidRPr="00DE68A1">
        <w:t xml:space="preserve"> for different approaches to calculating capital requirements.</w:t>
      </w:r>
    </w:p>
    <w:p w14:paraId="42F0EA31" w14:textId="77777777" w:rsidR="00536413" w:rsidRPr="00DE68A1" w:rsidRDefault="00536413" w:rsidP="00CD20E9">
      <w:pPr>
        <w:autoSpaceDE w:val="0"/>
        <w:autoSpaceDN w:val="0"/>
        <w:bidi w:val="0"/>
        <w:adjustRightInd w:val="0"/>
        <w:jc w:val="both"/>
      </w:pPr>
    </w:p>
    <w:p w14:paraId="2F5520AF" w14:textId="77777777" w:rsidR="00536413" w:rsidRPr="00DE68A1" w:rsidRDefault="00795C50" w:rsidP="003A0EAB">
      <w:pPr>
        <w:pStyle w:val="ListParagraph"/>
        <w:numPr>
          <w:ilvl w:val="1"/>
          <w:numId w:val="31"/>
        </w:numPr>
        <w:autoSpaceDE w:val="0"/>
        <w:autoSpaceDN w:val="0"/>
        <w:bidi w:val="0"/>
        <w:adjustRightInd w:val="0"/>
        <w:spacing w:after="240"/>
        <w:ind w:left="270" w:hanging="270"/>
        <w:jc w:val="both"/>
      </w:pPr>
      <w:r w:rsidRPr="00DE68A1">
        <w:t xml:space="preserve">The first is the </w:t>
      </w:r>
      <w:r w:rsidR="00536413" w:rsidRPr="00DE68A1">
        <w:t>Standardized</w:t>
      </w:r>
      <w:r w:rsidRPr="00DE68A1">
        <w:t xml:space="preserve"> approach, where risk weights used to assess </w:t>
      </w:r>
      <w:r w:rsidR="00536413" w:rsidRPr="00DE68A1">
        <w:t>r</w:t>
      </w:r>
      <w:r w:rsidRPr="00DE68A1">
        <w:t>equirements</w:t>
      </w:r>
      <w:r w:rsidR="003A0EAB" w:rsidRPr="00DE68A1">
        <w:t xml:space="preserve"> against</w:t>
      </w:r>
      <w:r w:rsidRPr="00DE68A1">
        <w:t xml:space="preserve"> credit exposures are</w:t>
      </w:r>
      <w:r w:rsidR="00536413" w:rsidRPr="00DE68A1">
        <w:t xml:space="preserve"> </w:t>
      </w:r>
      <w:r w:rsidRPr="00DE68A1">
        <w:t>consistent across the industry.</w:t>
      </w:r>
    </w:p>
    <w:p w14:paraId="6FD3ACF8" w14:textId="77777777" w:rsidR="00536413" w:rsidRPr="00DE68A1" w:rsidRDefault="00795C50" w:rsidP="003A0EAB">
      <w:pPr>
        <w:pStyle w:val="ListParagraph"/>
        <w:numPr>
          <w:ilvl w:val="1"/>
          <w:numId w:val="31"/>
        </w:numPr>
        <w:autoSpaceDE w:val="0"/>
        <w:autoSpaceDN w:val="0"/>
        <w:bidi w:val="0"/>
        <w:adjustRightInd w:val="0"/>
        <w:spacing w:after="240"/>
        <w:ind w:left="270" w:hanging="270"/>
        <w:jc w:val="both"/>
      </w:pPr>
      <w:r w:rsidRPr="00DE68A1">
        <w:t xml:space="preserve">The second approach is the Internal Ratings Based approach (IRB) which relies on </w:t>
      </w:r>
      <w:r w:rsidR="003A0EAB" w:rsidRPr="00DE68A1">
        <w:t>the bank’s</w:t>
      </w:r>
      <w:r w:rsidRPr="00DE68A1">
        <w:t xml:space="preserve"> internal models to derive the risk</w:t>
      </w:r>
      <w:r w:rsidR="00536413" w:rsidRPr="00DE68A1">
        <w:t xml:space="preserve"> </w:t>
      </w:r>
      <w:r w:rsidRPr="00DE68A1">
        <w:t xml:space="preserve">weights. </w:t>
      </w:r>
    </w:p>
    <w:p w14:paraId="269F864E" w14:textId="77777777" w:rsidR="00C81D7A" w:rsidRPr="00DE68A1" w:rsidRDefault="00C81D7A" w:rsidP="003A0EAB">
      <w:pPr>
        <w:pStyle w:val="ListParagraph"/>
        <w:numPr>
          <w:ilvl w:val="1"/>
          <w:numId w:val="31"/>
        </w:numPr>
        <w:autoSpaceDE w:val="0"/>
        <w:autoSpaceDN w:val="0"/>
        <w:bidi w:val="0"/>
        <w:adjustRightInd w:val="0"/>
        <w:spacing w:after="240"/>
        <w:ind w:left="270" w:hanging="270"/>
        <w:jc w:val="both"/>
      </w:pPr>
      <w:r w:rsidRPr="00DE68A1">
        <w:lastRenderedPageBreak/>
        <w:t xml:space="preserve">The third approach is the advanced approach suitable for very large and complex </w:t>
      </w:r>
      <w:r w:rsidR="00833E20" w:rsidRPr="00DE68A1">
        <w:t xml:space="preserve">  </w:t>
      </w:r>
      <w:r w:rsidRPr="00DE68A1">
        <w:t>structures.</w:t>
      </w:r>
    </w:p>
    <w:p w14:paraId="50F01A81" w14:textId="6C341575" w:rsidR="00795C50" w:rsidRPr="00DE68A1" w:rsidRDefault="00536413" w:rsidP="007A7387">
      <w:pPr>
        <w:bidi w:val="0"/>
        <w:spacing w:after="200" w:line="276" w:lineRule="auto"/>
        <w:jc w:val="both"/>
        <w:rPr>
          <w:rFonts w:eastAsia="Calibri"/>
        </w:rPr>
      </w:pPr>
      <w:r w:rsidRPr="00DE68A1">
        <w:rPr>
          <w:rFonts w:eastAsia="Calibri"/>
        </w:rPr>
        <w:t xml:space="preserve">As per the guidelines of the Central Bank of Kuwait, the Bank’s Pillar I capital adequacy calculations are based on the Standardized approach. For stress testing </w:t>
      </w:r>
      <w:r w:rsidR="003D3231" w:rsidRPr="00DE68A1">
        <w:rPr>
          <w:rFonts w:eastAsia="Calibri"/>
        </w:rPr>
        <w:t>purposes,</w:t>
      </w:r>
      <w:r w:rsidRPr="00DE68A1">
        <w:rPr>
          <w:rFonts w:eastAsia="Calibri"/>
        </w:rPr>
        <w:t xml:space="preserve"> </w:t>
      </w:r>
      <w:r w:rsidR="00DE68A1" w:rsidRPr="00DE68A1">
        <w:rPr>
          <w:rFonts w:eastAsia="Calibri"/>
        </w:rPr>
        <w:t>however,</w:t>
      </w:r>
      <w:r w:rsidR="00EC6F3F" w:rsidRPr="00DE68A1">
        <w:rPr>
          <w:rFonts w:eastAsia="Calibri"/>
        </w:rPr>
        <w:t xml:space="preserve"> the Bank uses </w:t>
      </w:r>
      <w:r w:rsidR="00C81D7A" w:rsidRPr="00DE68A1">
        <w:rPr>
          <w:rFonts w:eastAsia="Calibri"/>
        </w:rPr>
        <w:t xml:space="preserve">an internal modeling </w:t>
      </w:r>
      <w:r w:rsidR="003D3231" w:rsidRPr="00DE68A1">
        <w:rPr>
          <w:rFonts w:eastAsia="Calibri"/>
        </w:rPr>
        <w:t>methodology, which</w:t>
      </w:r>
      <w:r w:rsidR="00EC6F3F" w:rsidRPr="00DE68A1">
        <w:rPr>
          <w:rFonts w:eastAsia="Calibri"/>
        </w:rPr>
        <w:t xml:space="preserve"> is specifically designed for </w:t>
      </w:r>
      <w:r w:rsidR="00C81D7A" w:rsidRPr="00DE68A1">
        <w:rPr>
          <w:rFonts w:eastAsia="Calibri"/>
        </w:rPr>
        <w:t>large</w:t>
      </w:r>
      <w:r w:rsidR="00EC6F3F" w:rsidRPr="00DE68A1">
        <w:rPr>
          <w:rFonts w:eastAsia="Calibri"/>
        </w:rPr>
        <w:t xml:space="preserve"> </w:t>
      </w:r>
      <w:r w:rsidR="00CD20E9" w:rsidRPr="00DE68A1">
        <w:rPr>
          <w:rFonts w:eastAsia="Calibri"/>
        </w:rPr>
        <w:t>credit exposures</w:t>
      </w:r>
      <w:r w:rsidR="00EC6F3F" w:rsidRPr="00DE68A1">
        <w:rPr>
          <w:rFonts w:eastAsia="Calibri"/>
        </w:rPr>
        <w:t xml:space="preserve">, which constitutes the main business line of the </w:t>
      </w:r>
      <w:r w:rsidR="003D3231" w:rsidRPr="00DE68A1">
        <w:rPr>
          <w:rFonts w:eastAsia="Calibri"/>
        </w:rPr>
        <w:t>Bank,</w:t>
      </w:r>
      <w:r w:rsidR="00EC6F3F" w:rsidRPr="00DE68A1">
        <w:rPr>
          <w:rFonts w:eastAsia="Calibri"/>
        </w:rPr>
        <w:t xml:space="preserve"> </w:t>
      </w:r>
      <w:r w:rsidR="001F08C1" w:rsidRPr="00DE68A1">
        <w:rPr>
          <w:rFonts w:eastAsia="Calibri"/>
        </w:rPr>
        <w:t>as</w:t>
      </w:r>
      <w:r w:rsidR="00EC6F3F" w:rsidRPr="00DE68A1">
        <w:rPr>
          <w:rFonts w:eastAsia="Calibri"/>
        </w:rPr>
        <w:t xml:space="preserve"> under its mandate </w:t>
      </w:r>
      <w:r w:rsidR="001F08C1" w:rsidRPr="00DE68A1">
        <w:rPr>
          <w:rFonts w:eastAsia="Calibri"/>
        </w:rPr>
        <w:t xml:space="preserve">it </w:t>
      </w:r>
      <w:r w:rsidR="00EC6F3F" w:rsidRPr="00DE68A1">
        <w:rPr>
          <w:rFonts w:eastAsia="Calibri"/>
        </w:rPr>
        <w:t>cannot have retail or real estate exposures</w:t>
      </w:r>
      <w:r w:rsidR="00BC158C" w:rsidRPr="00DE68A1">
        <w:rPr>
          <w:rFonts w:eastAsia="Calibri"/>
        </w:rPr>
        <w:t xml:space="preserve">. </w:t>
      </w:r>
      <w:r w:rsidR="00C66E80" w:rsidRPr="00DE68A1">
        <w:rPr>
          <w:rFonts w:eastAsia="Calibri"/>
        </w:rPr>
        <w:t xml:space="preserve">Stress tests are simultaneously carried out as per parameters </w:t>
      </w:r>
      <w:r w:rsidR="00D07F87" w:rsidRPr="00DE68A1">
        <w:rPr>
          <w:rFonts w:eastAsia="Calibri"/>
        </w:rPr>
        <w:t xml:space="preserve">and scenarios provided by the Central Bank of Kuwait. Stress test submissions are made based on </w:t>
      </w:r>
      <w:r w:rsidR="00F66AD6" w:rsidRPr="00DE68A1">
        <w:rPr>
          <w:rFonts w:eastAsia="Calibri"/>
        </w:rPr>
        <w:t>both internal</w:t>
      </w:r>
      <w:r w:rsidR="00D07F87" w:rsidRPr="00DE68A1">
        <w:rPr>
          <w:rFonts w:eastAsia="Calibri"/>
        </w:rPr>
        <w:t xml:space="preserve"> and regulatory methodologies. </w:t>
      </w:r>
    </w:p>
    <w:p w14:paraId="26359B3C" w14:textId="77777777" w:rsidR="00795C50" w:rsidRPr="00DE68A1" w:rsidRDefault="00F66AD6" w:rsidP="007A7387">
      <w:pPr>
        <w:bidi w:val="0"/>
        <w:spacing w:after="200" w:line="276" w:lineRule="auto"/>
        <w:jc w:val="both"/>
        <w:rPr>
          <w:rFonts w:eastAsia="Calibri"/>
        </w:rPr>
      </w:pPr>
      <w:r w:rsidRPr="00DE68A1">
        <w:rPr>
          <w:rFonts w:eastAsia="Calibri"/>
        </w:rPr>
        <w:t>Stress tests are conducted</w:t>
      </w:r>
      <w:r w:rsidR="00795C50" w:rsidRPr="00DE68A1">
        <w:rPr>
          <w:rFonts w:eastAsia="Calibri"/>
        </w:rPr>
        <w:t xml:space="preserve"> </w:t>
      </w:r>
      <w:r w:rsidR="00EC6F3F" w:rsidRPr="00DE68A1">
        <w:rPr>
          <w:rFonts w:eastAsia="Calibri"/>
        </w:rPr>
        <w:t>twice</w:t>
      </w:r>
      <w:r w:rsidR="00795C50" w:rsidRPr="00DE68A1">
        <w:rPr>
          <w:rFonts w:eastAsia="Calibri"/>
        </w:rPr>
        <w:t xml:space="preserve"> a year, in accordance with the </w:t>
      </w:r>
      <w:r w:rsidR="00EC6F3F" w:rsidRPr="00DE68A1">
        <w:rPr>
          <w:rFonts w:eastAsia="Calibri"/>
        </w:rPr>
        <w:t>Bank’s</w:t>
      </w:r>
      <w:r w:rsidR="00795C50" w:rsidRPr="00DE68A1">
        <w:rPr>
          <w:rFonts w:eastAsia="Calibri"/>
        </w:rPr>
        <w:t xml:space="preserve"> </w:t>
      </w:r>
      <w:r w:rsidRPr="00DE68A1">
        <w:rPr>
          <w:rFonts w:eastAsia="Calibri"/>
        </w:rPr>
        <w:t xml:space="preserve">Basel </w:t>
      </w:r>
      <w:r w:rsidR="00795C50" w:rsidRPr="00DE68A1">
        <w:rPr>
          <w:rFonts w:eastAsia="Calibri"/>
        </w:rPr>
        <w:t>Pillar 3 Policy</w:t>
      </w:r>
      <w:r w:rsidR="00EC6F3F" w:rsidRPr="00DE68A1">
        <w:rPr>
          <w:rFonts w:eastAsia="Calibri"/>
        </w:rPr>
        <w:t xml:space="preserve"> and as per the guidelines of the Central Bank of Kuwait</w:t>
      </w:r>
      <w:r w:rsidR="00795C50" w:rsidRPr="00DE68A1">
        <w:rPr>
          <w:rFonts w:eastAsia="Calibri"/>
        </w:rPr>
        <w:t xml:space="preserve">. </w:t>
      </w:r>
      <w:r w:rsidR="00EC6F3F" w:rsidRPr="00DE68A1">
        <w:rPr>
          <w:rFonts w:eastAsia="Calibri"/>
        </w:rPr>
        <w:t xml:space="preserve">A full report </w:t>
      </w:r>
      <w:r w:rsidRPr="00DE68A1">
        <w:rPr>
          <w:rFonts w:eastAsia="Calibri"/>
        </w:rPr>
        <w:t>(qualitative</w:t>
      </w:r>
      <w:r w:rsidR="00EC6F3F" w:rsidRPr="00DE68A1">
        <w:rPr>
          <w:rFonts w:eastAsia="Calibri"/>
        </w:rPr>
        <w:t xml:space="preserve"> and quantitative) is prepared based on December year-end results and a quantitative-only report is prepared based on June mid-year results</w:t>
      </w:r>
      <w:r w:rsidRPr="00DE68A1">
        <w:rPr>
          <w:rFonts w:eastAsia="Calibri"/>
        </w:rPr>
        <w:t xml:space="preserve"> and projections</w:t>
      </w:r>
      <w:r w:rsidR="00EC6F3F" w:rsidRPr="00DE68A1">
        <w:rPr>
          <w:rFonts w:eastAsia="Calibri"/>
        </w:rPr>
        <w:t>.</w:t>
      </w:r>
    </w:p>
    <w:p w14:paraId="6E5F2050" w14:textId="77777777" w:rsidR="00795C50" w:rsidRPr="00DE68A1" w:rsidRDefault="00DB72F4" w:rsidP="004A43CB">
      <w:pPr>
        <w:autoSpaceDE w:val="0"/>
        <w:autoSpaceDN w:val="0"/>
        <w:bidi w:val="0"/>
        <w:adjustRightInd w:val="0"/>
        <w:rPr>
          <w:b/>
          <w:bCs/>
          <w:color w:val="000000"/>
        </w:rPr>
      </w:pPr>
      <w:r w:rsidRPr="00DE68A1">
        <w:rPr>
          <w:b/>
          <w:bCs/>
          <w:color w:val="000000"/>
        </w:rPr>
        <w:t>Capital Risk Management:</w:t>
      </w:r>
    </w:p>
    <w:p w14:paraId="526783B7" w14:textId="77777777" w:rsidR="00DB72F4" w:rsidRPr="00DE68A1" w:rsidRDefault="00DB72F4" w:rsidP="00DB72F4">
      <w:pPr>
        <w:autoSpaceDE w:val="0"/>
        <w:autoSpaceDN w:val="0"/>
        <w:bidi w:val="0"/>
        <w:adjustRightInd w:val="0"/>
        <w:rPr>
          <w:b/>
          <w:bCs/>
          <w:color w:val="000000"/>
        </w:rPr>
      </w:pPr>
    </w:p>
    <w:p w14:paraId="6834D79F" w14:textId="0F81A5C4" w:rsidR="00DB72F4" w:rsidRPr="00DE68A1" w:rsidRDefault="00DB72F4" w:rsidP="007A7387">
      <w:pPr>
        <w:bidi w:val="0"/>
        <w:spacing w:after="200" w:line="276" w:lineRule="auto"/>
        <w:jc w:val="both"/>
        <w:rPr>
          <w:rFonts w:eastAsia="Calibri"/>
        </w:rPr>
      </w:pPr>
      <w:r w:rsidRPr="00DE68A1">
        <w:rPr>
          <w:rFonts w:eastAsia="Calibri"/>
        </w:rPr>
        <w:t xml:space="preserve">Capital adequacy is the degree to which capital resources on the Bank’s balance sheet are sufficient to cover the businesses’ capital requirements now and in the foreseeable future. The Group’s permission to operate as a bank is dependent upon the maintenance of adequate capital resources. Capital risk management is the process </w:t>
      </w:r>
      <w:r w:rsidR="00DE68A1" w:rsidRPr="00DE68A1">
        <w:rPr>
          <w:rFonts w:eastAsia="Calibri"/>
        </w:rPr>
        <w:t>of</w:t>
      </w:r>
      <w:r w:rsidRPr="00DE68A1">
        <w:rPr>
          <w:rFonts w:eastAsia="Calibri"/>
        </w:rPr>
        <w:t xml:space="preserve"> reviewing capital requirements to enable the Bank to:</w:t>
      </w:r>
    </w:p>
    <w:p w14:paraId="2C026C91" w14:textId="77777777" w:rsidR="00DB72F4" w:rsidRPr="00DE68A1" w:rsidRDefault="00DB72F4" w:rsidP="003A0EAB">
      <w:pPr>
        <w:pStyle w:val="ListParagraph"/>
        <w:numPr>
          <w:ilvl w:val="1"/>
          <w:numId w:val="31"/>
        </w:numPr>
        <w:autoSpaceDE w:val="0"/>
        <w:autoSpaceDN w:val="0"/>
        <w:bidi w:val="0"/>
        <w:adjustRightInd w:val="0"/>
        <w:spacing w:after="240"/>
        <w:ind w:left="270" w:hanging="270"/>
        <w:jc w:val="both"/>
      </w:pPr>
      <w:r w:rsidRPr="00DE68A1">
        <w:t>Meet minimum regulatory requirements in Kuwait where its business is focused and</w:t>
      </w:r>
      <w:r w:rsidR="00CD20E9" w:rsidRPr="00DE68A1">
        <w:t xml:space="preserve"> </w:t>
      </w:r>
      <w:r w:rsidRPr="00DE68A1">
        <w:t>where itis solely located.</w:t>
      </w:r>
    </w:p>
    <w:p w14:paraId="740BCECA" w14:textId="35D3E61A" w:rsidR="00DB72F4" w:rsidRPr="00DE68A1" w:rsidRDefault="00DB72F4" w:rsidP="003A0EAB">
      <w:pPr>
        <w:pStyle w:val="ListParagraph"/>
        <w:numPr>
          <w:ilvl w:val="1"/>
          <w:numId w:val="31"/>
        </w:numPr>
        <w:autoSpaceDE w:val="0"/>
        <w:autoSpaceDN w:val="0"/>
        <w:bidi w:val="0"/>
        <w:adjustRightInd w:val="0"/>
        <w:spacing w:after="240"/>
        <w:ind w:left="270" w:hanging="270"/>
        <w:jc w:val="both"/>
      </w:pPr>
      <w:r w:rsidRPr="00DE68A1">
        <w:t xml:space="preserve">Support its credit rating and maintain cost of </w:t>
      </w:r>
      <w:r w:rsidR="00DE68A1" w:rsidRPr="00DE68A1">
        <w:t>funds.</w:t>
      </w:r>
    </w:p>
    <w:p w14:paraId="04090C9A" w14:textId="77777777" w:rsidR="00DB72F4" w:rsidRPr="00DE68A1" w:rsidRDefault="00DB72F4" w:rsidP="003A0EAB">
      <w:pPr>
        <w:pStyle w:val="ListParagraph"/>
        <w:numPr>
          <w:ilvl w:val="1"/>
          <w:numId w:val="31"/>
        </w:numPr>
        <w:autoSpaceDE w:val="0"/>
        <w:autoSpaceDN w:val="0"/>
        <w:bidi w:val="0"/>
        <w:adjustRightInd w:val="0"/>
        <w:spacing w:after="240"/>
        <w:ind w:left="270" w:hanging="270"/>
        <w:jc w:val="both"/>
      </w:pPr>
      <w:r w:rsidRPr="00DE68A1">
        <w:t xml:space="preserve">Support </w:t>
      </w:r>
      <w:r w:rsidR="00CA18DA" w:rsidRPr="00DE68A1">
        <w:t>business</w:t>
      </w:r>
      <w:r w:rsidRPr="00DE68A1">
        <w:t xml:space="preserve"> growth</w:t>
      </w:r>
      <w:r w:rsidR="00CA18DA" w:rsidRPr="00DE68A1">
        <w:t xml:space="preserve"> and the ability to withstand and tide over shocks</w:t>
      </w:r>
      <w:r w:rsidRPr="00DE68A1">
        <w:t>.</w:t>
      </w:r>
    </w:p>
    <w:p w14:paraId="6A35351A" w14:textId="77777777" w:rsidR="00D72501" w:rsidRPr="00DE68A1" w:rsidRDefault="00D72501" w:rsidP="00D72501">
      <w:pPr>
        <w:autoSpaceDE w:val="0"/>
        <w:autoSpaceDN w:val="0"/>
        <w:bidi w:val="0"/>
        <w:adjustRightInd w:val="0"/>
        <w:rPr>
          <w:color w:val="000000"/>
        </w:rPr>
      </w:pPr>
    </w:p>
    <w:p w14:paraId="16431963" w14:textId="0F031FC5" w:rsidR="00DB72F4" w:rsidRPr="00DE68A1" w:rsidRDefault="00D72501" w:rsidP="007A7387">
      <w:pPr>
        <w:bidi w:val="0"/>
        <w:spacing w:after="200" w:line="276" w:lineRule="auto"/>
        <w:jc w:val="both"/>
        <w:rPr>
          <w:rFonts w:eastAsia="Calibri"/>
        </w:rPr>
      </w:pPr>
      <w:r w:rsidRPr="00DE68A1">
        <w:rPr>
          <w:rFonts w:eastAsia="Calibri"/>
        </w:rPr>
        <w:t>The Bank</w:t>
      </w:r>
      <w:r w:rsidR="00DB72F4" w:rsidRPr="00DE68A1">
        <w:rPr>
          <w:rFonts w:eastAsia="Calibri"/>
        </w:rPr>
        <w:t xml:space="preserve"> ensures that it is sufficiently </w:t>
      </w:r>
      <w:r w:rsidRPr="00DE68A1">
        <w:rPr>
          <w:rFonts w:eastAsia="Calibri"/>
        </w:rPr>
        <w:t>capitalized</w:t>
      </w:r>
      <w:r w:rsidR="00DB72F4" w:rsidRPr="00DE68A1">
        <w:rPr>
          <w:rFonts w:eastAsia="Calibri"/>
        </w:rPr>
        <w:t xml:space="preserve"> by</w:t>
      </w:r>
      <w:r w:rsidRPr="00DE68A1">
        <w:rPr>
          <w:rFonts w:eastAsia="Calibri"/>
        </w:rPr>
        <w:t xml:space="preserve"> </w:t>
      </w:r>
      <w:r w:rsidR="00DB72F4" w:rsidRPr="00DE68A1">
        <w:rPr>
          <w:rFonts w:eastAsia="Calibri"/>
        </w:rPr>
        <w:t>continually assessing its capital resources and requirements</w:t>
      </w:r>
      <w:r w:rsidRPr="00DE68A1">
        <w:rPr>
          <w:rFonts w:eastAsia="Calibri"/>
        </w:rPr>
        <w:t xml:space="preserve"> </w:t>
      </w:r>
      <w:r w:rsidR="00DB72F4" w:rsidRPr="00DE68A1">
        <w:rPr>
          <w:rFonts w:eastAsia="Calibri"/>
        </w:rPr>
        <w:t xml:space="preserve">given current financial projections. This </w:t>
      </w:r>
      <w:r w:rsidR="00E07797" w:rsidRPr="00DE68A1">
        <w:rPr>
          <w:rFonts w:eastAsia="Calibri"/>
        </w:rPr>
        <w:t>considers</w:t>
      </w:r>
      <w:r w:rsidR="00CD20E9" w:rsidRPr="00DE68A1">
        <w:rPr>
          <w:rFonts w:eastAsia="Calibri"/>
        </w:rPr>
        <w:t xml:space="preserve"> </w:t>
      </w:r>
      <w:r w:rsidR="00DB72F4" w:rsidRPr="00DE68A1">
        <w:rPr>
          <w:rFonts w:eastAsia="Calibri"/>
        </w:rPr>
        <w:t xml:space="preserve">material risks to the projections as </w:t>
      </w:r>
      <w:r w:rsidRPr="00DE68A1">
        <w:rPr>
          <w:rFonts w:eastAsia="Calibri"/>
        </w:rPr>
        <w:t xml:space="preserve">well as </w:t>
      </w:r>
      <w:r w:rsidR="00DB72F4" w:rsidRPr="00DE68A1">
        <w:rPr>
          <w:rFonts w:eastAsia="Calibri"/>
        </w:rPr>
        <w:t>strategies employed</w:t>
      </w:r>
      <w:r w:rsidRPr="00DE68A1">
        <w:rPr>
          <w:rFonts w:eastAsia="Calibri"/>
        </w:rPr>
        <w:t xml:space="preserve"> </w:t>
      </w:r>
      <w:r w:rsidR="00DB72F4" w:rsidRPr="00DE68A1">
        <w:rPr>
          <w:rFonts w:eastAsia="Calibri"/>
        </w:rPr>
        <w:t>to manage those risks.</w:t>
      </w:r>
    </w:p>
    <w:p w14:paraId="39413C90" w14:textId="03E359EA" w:rsidR="001C02A8" w:rsidRPr="00DE68A1" w:rsidRDefault="001C02A8" w:rsidP="007A7387">
      <w:pPr>
        <w:bidi w:val="0"/>
        <w:spacing w:after="200" w:line="276" w:lineRule="auto"/>
        <w:jc w:val="both"/>
        <w:rPr>
          <w:rFonts w:eastAsia="Calibri"/>
        </w:rPr>
      </w:pPr>
      <w:r w:rsidRPr="00DE68A1">
        <w:rPr>
          <w:rFonts w:eastAsia="Calibri"/>
        </w:rPr>
        <w:t xml:space="preserve">The Bank’s capital management considers both economic and regulatory capital. Regulatory capital requirements are calculated </w:t>
      </w:r>
      <w:r w:rsidR="00DE68A1" w:rsidRPr="00DE68A1">
        <w:rPr>
          <w:rFonts w:eastAsia="Calibri"/>
        </w:rPr>
        <w:t>based on</w:t>
      </w:r>
      <w:r w:rsidRPr="00DE68A1">
        <w:rPr>
          <w:rFonts w:eastAsia="Calibri"/>
        </w:rPr>
        <w:t xml:space="preserve"> Pillar 1 </w:t>
      </w:r>
      <w:r w:rsidR="005252F8" w:rsidRPr="00DE68A1">
        <w:rPr>
          <w:rFonts w:eastAsia="Calibri"/>
        </w:rPr>
        <w:t xml:space="preserve">risks </w:t>
      </w:r>
      <w:r w:rsidRPr="00DE68A1">
        <w:rPr>
          <w:rFonts w:eastAsia="Calibri"/>
        </w:rPr>
        <w:t xml:space="preserve">of the Basel framework. Pillar 1 capital covers credit, market and operational risks. The calculation methods and risk weights are specified by Basel </w:t>
      </w:r>
      <w:r w:rsidR="00010B2B" w:rsidRPr="00DE68A1">
        <w:rPr>
          <w:rFonts w:eastAsia="Calibri"/>
        </w:rPr>
        <w:t>III</w:t>
      </w:r>
      <w:r w:rsidRPr="00DE68A1">
        <w:rPr>
          <w:rFonts w:eastAsia="Calibri"/>
        </w:rPr>
        <w:t xml:space="preserve"> rules. Pillar 2 capital can</w:t>
      </w:r>
      <w:r w:rsidR="00F66AD6" w:rsidRPr="00DE68A1">
        <w:rPr>
          <w:rFonts w:eastAsia="Calibri"/>
        </w:rPr>
        <w:t xml:space="preserve"> </w:t>
      </w:r>
      <w:r w:rsidRPr="00DE68A1">
        <w:rPr>
          <w:rFonts w:eastAsia="Calibri"/>
        </w:rPr>
        <w:t xml:space="preserve">also be held against the three risk types </w:t>
      </w:r>
      <w:r w:rsidR="00DE68A1" w:rsidRPr="00DE68A1">
        <w:rPr>
          <w:rFonts w:eastAsia="Calibri"/>
        </w:rPr>
        <w:t>above but</w:t>
      </w:r>
      <w:r w:rsidRPr="00DE68A1">
        <w:rPr>
          <w:rFonts w:eastAsia="Calibri"/>
        </w:rPr>
        <w:t xml:space="preserve"> mainly covers other types of risk. Being an industrial bank with a focused </w:t>
      </w:r>
      <w:r w:rsidR="00DE53B9" w:rsidRPr="00DE68A1">
        <w:rPr>
          <w:rFonts w:eastAsia="Calibri"/>
        </w:rPr>
        <w:t xml:space="preserve">but restricted </w:t>
      </w:r>
      <w:r w:rsidRPr="00DE68A1">
        <w:rPr>
          <w:rFonts w:eastAsia="Calibri"/>
        </w:rPr>
        <w:t>mandate</w:t>
      </w:r>
      <w:r w:rsidR="00833E20" w:rsidRPr="00DE68A1">
        <w:rPr>
          <w:rFonts w:eastAsia="Calibri"/>
        </w:rPr>
        <w:t>,</w:t>
      </w:r>
      <w:r w:rsidRPr="00DE68A1">
        <w:rPr>
          <w:rFonts w:eastAsia="Calibri"/>
        </w:rPr>
        <w:t xml:space="preserve"> </w:t>
      </w:r>
      <w:r w:rsidR="00DE68A1" w:rsidRPr="00DE68A1">
        <w:rPr>
          <w:rFonts w:eastAsia="Calibri"/>
        </w:rPr>
        <w:t>significant</w:t>
      </w:r>
      <w:r w:rsidRPr="00DE68A1">
        <w:rPr>
          <w:rFonts w:eastAsia="Calibri"/>
        </w:rPr>
        <w:t xml:space="preserve"> weight</w:t>
      </w:r>
      <w:r w:rsidR="00833E20" w:rsidRPr="00DE68A1">
        <w:rPr>
          <w:rFonts w:eastAsia="Calibri"/>
        </w:rPr>
        <w:t xml:space="preserve"> is</w:t>
      </w:r>
      <w:r w:rsidRPr="00DE68A1">
        <w:rPr>
          <w:rFonts w:eastAsia="Calibri"/>
        </w:rPr>
        <w:t xml:space="preserve"> given to Concentration Risk. The Bank uses its own internal capital framework </w:t>
      </w:r>
      <w:r w:rsidR="00CD20E9" w:rsidRPr="00DE68A1">
        <w:rPr>
          <w:rFonts w:eastAsia="Calibri"/>
        </w:rPr>
        <w:t>an</w:t>
      </w:r>
      <w:r w:rsidRPr="00DE68A1">
        <w:rPr>
          <w:rFonts w:eastAsia="Calibri"/>
        </w:rPr>
        <w:t>d stress testing processes to help determine its capital requirements</w:t>
      </w:r>
      <w:r w:rsidR="005252F8" w:rsidRPr="00DE68A1">
        <w:rPr>
          <w:rFonts w:eastAsia="Calibri"/>
        </w:rPr>
        <w:t xml:space="preserve"> under stressed scenarios</w:t>
      </w:r>
      <w:r w:rsidRPr="00DE68A1">
        <w:rPr>
          <w:rFonts w:eastAsia="Calibri"/>
        </w:rPr>
        <w:t>.</w:t>
      </w:r>
      <w:r w:rsidR="00E0701D" w:rsidRPr="00DE68A1">
        <w:rPr>
          <w:rFonts w:eastAsia="Calibri"/>
        </w:rPr>
        <w:t xml:space="preserve"> The Bank</w:t>
      </w:r>
      <w:r w:rsidRPr="00DE68A1">
        <w:rPr>
          <w:rFonts w:eastAsia="Calibri"/>
        </w:rPr>
        <w:t xml:space="preserve"> ensures</w:t>
      </w:r>
      <w:r w:rsidR="00E0701D" w:rsidRPr="00DE68A1">
        <w:rPr>
          <w:rFonts w:eastAsia="Calibri"/>
        </w:rPr>
        <w:t xml:space="preserve"> </w:t>
      </w:r>
      <w:r w:rsidRPr="00DE68A1">
        <w:rPr>
          <w:rFonts w:eastAsia="Calibri"/>
        </w:rPr>
        <w:t xml:space="preserve">that </w:t>
      </w:r>
      <w:r w:rsidR="00E0701D" w:rsidRPr="00DE68A1">
        <w:rPr>
          <w:rFonts w:eastAsia="Calibri"/>
        </w:rPr>
        <w:t>it</w:t>
      </w:r>
      <w:r w:rsidRPr="00DE68A1">
        <w:rPr>
          <w:rFonts w:eastAsia="Calibri"/>
        </w:rPr>
        <w:t xml:space="preserve"> </w:t>
      </w:r>
      <w:r w:rsidR="00DE68A1" w:rsidRPr="00DE68A1">
        <w:rPr>
          <w:rFonts w:eastAsia="Calibri"/>
        </w:rPr>
        <w:t>always maintains sufficient buffers above regulatory minima</w:t>
      </w:r>
      <w:r w:rsidRPr="00DE68A1">
        <w:rPr>
          <w:rFonts w:eastAsia="Calibri"/>
        </w:rPr>
        <w:t>. The adequacy of these</w:t>
      </w:r>
      <w:r w:rsidR="00E0701D" w:rsidRPr="00DE68A1">
        <w:rPr>
          <w:rFonts w:eastAsia="Calibri"/>
        </w:rPr>
        <w:t xml:space="preserve"> </w:t>
      </w:r>
      <w:r w:rsidRPr="00DE68A1">
        <w:rPr>
          <w:rFonts w:eastAsia="Calibri"/>
        </w:rPr>
        <w:t xml:space="preserve">buffers is assessed </w:t>
      </w:r>
      <w:r w:rsidR="00E0701D" w:rsidRPr="00DE68A1">
        <w:rPr>
          <w:rFonts w:eastAsia="Calibri"/>
        </w:rPr>
        <w:t xml:space="preserve">by Risk Management and presented periodically to the Board </w:t>
      </w:r>
      <w:r w:rsidR="00C81D7A" w:rsidRPr="00DE68A1">
        <w:rPr>
          <w:rFonts w:eastAsia="Calibri"/>
        </w:rPr>
        <w:t xml:space="preserve">Audit and </w:t>
      </w:r>
      <w:r w:rsidR="00E0701D" w:rsidRPr="00DE68A1">
        <w:rPr>
          <w:rFonts w:eastAsia="Calibri"/>
        </w:rPr>
        <w:t xml:space="preserve">Risk </w:t>
      </w:r>
      <w:r w:rsidR="00C81D7A" w:rsidRPr="00DE68A1">
        <w:rPr>
          <w:rFonts w:eastAsia="Calibri"/>
        </w:rPr>
        <w:t xml:space="preserve">Management </w:t>
      </w:r>
      <w:r w:rsidR="00E0701D" w:rsidRPr="00DE68A1">
        <w:rPr>
          <w:rFonts w:eastAsia="Calibri"/>
        </w:rPr>
        <w:t xml:space="preserve">Committee as part of the </w:t>
      </w:r>
      <w:r w:rsidR="00F66AD6" w:rsidRPr="00DE68A1">
        <w:rPr>
          <w:rFonts w:eastAsia="Calibri"/>
        </w:rPr>
        <w:t xml:space="preserve">Capital Management Policy, the </w:t>
      </w:r>
      <w:r w:rsidR="00E0701D" w:rsidRPr="00DE68A1">
        <w:rPr>
          <w:rFonts w:eastAsia="Calibri"/>
        </w:rPr>
        <w:t xml:space="preserve">risk governance process, </w:t>
      </w:r>
      <w:r w:rsidRPr="00DE68A1">
        <w:rPr>
          <w:rFonts w:eastAsia="Calibri"/>
        </w:rPr>
        <w:t xml:space="preserve">the risk appetite </w:t>
      </w:r>
      <w:r w:rsidR="00E0701D" w:rsidRPr="00DE68A1">
        <w:rPr>
          <w:rFonts w:eastAsia="Calibri"/>
        </w:rPr>
        <w:t>review</w:t>
      </w:r>
      <w:r w:rsidRPr="00DE68A1">
        <w:rPr>
          <w:rFonts w:eastAsia="Calibri"/>
        </w:rPr>
        <w:t xml:space="preserve"> process and </w:t>
      </w:r>
      <w:r w:rsidR="00E0701D" w:rsidRPr="00DE68A1">
        <w:rPr>
          <w:rFonts w:eastAsia="Calibri"/>
        </w:rPr>
        <w:t xml:space="preserve">the </w:t>
      </w:r>
      <w:r w:rsidRPr="00DE68A1">
        <w:rPr>
          <w:rFonts w:eastAsia="Calibri"/>
        </w:rPr>
        <w:t xml:space="preserve">stress testing </w:t>
      </w:r>
      <w:r w:rsidR="00E0701D" w:rsidRPr="00DE68A1">
        <w:rPr>
          <w:rFonts w:eastAsia="Calibri"/>
        </w:rPr>
        <w:t xml:space="preserve">process. </w:t>
      </w:r>
      <w:r w:rsidRPr="00DE68A1">
        <w:rPr>
          <w:rFonts w:eastAsia="Calibri"/>
        </w:rPr>
        <w:t xml:space="preserve">The </w:t>
      </w:r>
      <w:r w:rsidR="00E0701D" w:rsidRPr="00DE68A1">
        <w:rPr>
          <w:rFonts w:eastAsia="Calibri"/>
        </w:rPr>
        <w:t>Bank’s</w:t>
      </w:r>
      <w:r w:rsidRPr="00DE68A1">
        <w:rPr>
          <w:rFonts w:eastAsia="Calibri"/>
        </w:rPr>
        <w:t xml:space="preserve"> stress testing process forecasts the projected capital requirements and resources in a range of</w:t>
      </w:r>
      <w:r w:rsidR="00E0701D" w:rsidRPr="00DE68A1">
        <w:rPr>
          <w:rFonts w:eastAsia="Calibri"/>
        </w:rPr>
        <w:t xml:space="preserve"> </w:t>
      </w:r>
      <w:r w:rsidRPr="00DE68A1">
        <w:rPr>
          <w:rFonts w:eastAsia="Calibri"/>
        </w:rPr>
        <w:t xml:space="preserve">stress scenarios. This enables the </w:t>
      </w:r>
      <w:r w:rsidR="00E0701D" w:rsidRPr="00DE68A1">
        <w:rPr>
          <w:rFonts w:eastAsia="Calibri"/>
        </w:rPr>
        <w:t>Bank</w:t>
      </w:r>
      <w:r w:rsidRPr="00DE68A1">
        <w:rPr>
          <w:rFonts w:eastAsia="Calibri"/>
        </w:rPr>
        <w:t xml:space="preserve"> to ensure it can</w:t>
      </w:r>
      <w:r w:rsidR="00E0701D" w:rsidRPr="00DE68A1">
        <w:rPr>
          <w:rFonts w:eastAsia="Calibri"/>
        </w:rPr>
        <w:t xml:space="preserve"> </w:t>
      </w:r>
      <w:r w:rsidRPr="00DE68A1">
        <w:rPr>
          <w:rFonts w:eastAsia="Calibri"/>
        </w:rPr>
        <w:t xml:space="preserve">meet its </w:t>
      </w:r>
      <w:r w:rsidRPr="00DE68A1">
        <w:rPr>
          <w:rFonts w:eastAsia="Calibri"/>
        </w:rPr>
        <w:lastRenderedPageBreak/>
        <w:t>minimum regulatory capital requirements in a</w:t>
      </w:r>
      <w:r w:rsidR="00C81D7A" w:rsidRPr="00DE68A1">
        <w:rPr>
          <w:rFonts w:eastAsia="Calibri"/>
        </w:rPr>
        <w:t xml:space="preserve"> </w:t>
      </w:r>
      <w:r w:rsidRPr="00DE68A1">
        <w:rPr>
          <w:rFonts w:eastAsia="Calibri"/>
        </w:rPr>
        <w:t xml:space="preserve">stressed environment, </w:t>
      </w:r>
      <w:r w:rsidR="00E0701D" w:rsidRPr="00DE68A1">
        <w:rPr>
          <w:rFonts w:eastAsia="Calibri"/>
        </w:rPr>
        <w:t>and to assess that there is adequate buffer above regulatory capital to meet economic capital needs</w:t>
      </w:r>
      <w:r w:rsidR="00F66AD6" w:rsidRPr="00DE68A1">
        <w:rPr>
          <w:rFonts w:eastAsia="Calibri"/>
        </w:rPr>
        <w:t xml:space="preserve"> if trigger points are approached</w:t>
      </w:r>
      <w:r w:rsidR="00E0701D" w:rsidRPr="00DE68A1">
        <w:rPr>
          <w:rFonts w:eastAsia="Calibri"/>
        </w:rPr>
        <w:t xml:space="preserve">. </w:t>
      </w:r>
      <w:r w:rsidRPr="00DE68A1">
        <w:rPr>
          <w:rFonts w:eastAsia="Calibri"/>
        </w:rPr>
        <w:t>The stress testing process</w:t>
      </w:r>
      <w:r w:rsidR="00E0701D" w:rsidRPr="00DE68A1">
        <w:rPr>
          <w:rFonts w:eastAsia="Calibri"/>
        </w:rPr>
        <w:t xml:space="preserve"> </w:t>
      </w:r>
      <w:r w:rsidRPr="00DE68A1">
        <w:rPr>
          <w:rFonts w:eastAsia="Calibri"/>
        </w:rPr>
        <w:t>forms</w:t>
      </w:r>
      <w:r w:rsidR="00E0701D" w:rsidRPr="00DE68A1">
        <w:rPr>
          <w:rFonts w:eastAsia="Calibri"/>
        </w:rPr>
        <w:t xml:space="preserve"> </w:t>
      </w:r>
      <w:r w:rsidRPr="00DE68A1">
        <w:rPr>
          <w:rFonts w:eastAsia="Calibri"/>
        </w:rPr>
        <w:t>a key component of the internal capital adequacy</w:t>
      </w:r>
      <w:r w:rsidR="00E0701D" w:rsidRPr="00DE68A1">
        <w:rPr>
          <w:rFonts w:eastAsia="Calibri"/>
        </w:rPr>
        <w:t xml:space="preserve"> </w:t>
      </w:r>
      <w:r w:rsidRPr="00DE68A1">
        <w:rPr>
          <w:rFonts w:eastAsia="Calibri"/>
        </w:rPr>
        <w:t>assessment process (ICAAP).</w:t>
      </w:r>
    </w:p>
    <w:p w14:paraId="743EBDE8" w14:textId="7FCA7F7B" w:rsidR="005C1B48" w:rsidRPr="00DE68A1" w:rsidRDefault="004A43CB" w:rsidP="007A7387">
      <w:pPr>
        <w:bidi w:val="0"/>
        <w:spacing w:after="200" w:line="276" w:lineRule="auto"/>
        <w:jc w:val="both"/>
        <w:rPr>
          <w:rFonts w:eastAsia="Calibri"/>
        </w:rPr>
      </w:pPr>
      <w:r w:rsidRPr="00DE68A1">
        <w:rPr>
          <w:rFonts w:eastAsia="Calibri"/>
        </w:rPr>
        <w:t>For Pillar I regulatory capital adequacy calculations, the Bank has adopted the Standardized approach of Bas</w:t>
      </w:r>
      <w:r w:rsidR="00165BBB" w:rsidRPr="00DE68A1">
        <w:rPr>
          <w:rFonts w:eastAsia="Calibri"/>
        </w:rPr>
        <w:t>el</w:t>
      </w:r>
      <w:r w:rsidRPr="00DE68A1">
        <w:rPr>
          <w:rFonts w:eastAsia="Calibri"/>
        </w:rPr>
        <w:t xml:space="preserve"> </w:t>
      </w:r>
      <w:r w:rsidR="00010B2B" w:rsidRPr="00DE68A1">
        <w:rPr>
          <w:rFonts w:eastAsia="Calibri"/>
        </w:rPr>
        <w:t>III</w:t>
      </w:r>
      <w:r w:rsidRPr="00DE68A1">
        <w:rPr>
          <w:rFonts w:eastAsia="Calibri"/>
        </w:rPr>
        <w:t>, as recommended by the Central Bank of Kuwait in determining the capital required for each component of credit, market and operational risk. As the Bank is a specialized development bank which also offers commercial banking facilities to its customers, it has long term support from the Government of Kuwait. This, together with its significant disclosed reserves, makes its available capital substantially in excess of the minimum requirements of Bas</w:t>
      </w:r>
      <w:r w:rsidR="00165BBB" w:rsidRPr="00DE68A1">
        <w:rPr>
          <w:rFonts w:eastAsia="Calibri"/>
        </w:rPr>
        <w:t>el</w:t>
      </w:r>
      <w:r w:rsidRPr="00DE68A1">
        <w:rPr>
          <w:rFonts w:eastAsia="Calibri"/>
        </w:rPr>
        <w:t xml:space="preserve"> </w:t>
      </w:r>
      <w:r w:rsidR="00010B2B" w:rsidRPr="00DE68A1">
        <w:rPr>
          <w:rFonts w:eastAsia="Calibri"/>
        </w:rPr>
        <w:t>III</w:t>
      </w:r>
      <w:r w:rsidRPr="00DE68A1">
        <w:rPr>
          <w:rFonts w:eastAsia="Calibri"/>
        </w:rPr>
        <w:t xml:space="preserve"> even after </w:t>
      </w:r>
      <w:r w:rsidR="00E07797" w:rsidRPr="00DE68A1">
        <w:rPr>
          <w:rFonts w:eastAsia="Calibri"/>
        </w:rPr>
        <w:t>considering</w:t>
      </w:r>
      <w:r w:rsidRPr="00DE68A1">
        <w:rPr>
          <w:rFonts w:eastAsia="Calibri"/>
        </w:rPr>
        <w:t xml:space="preserve"> the </w:t>
      </w:r>
      <w:r w:rsidR="003622EC" w:rsidRPr="00DE68A1">
        <w:rPr>
          <w:rFonts w:eastAsia="Calibri"/>
        </w:rPr>
        <w:t xml:space="preserve">additional </w:t>
      </w:r>
      <w:r w:rsidRPr="00DE68A1">
        <w:rPr>
          <w:rFonts w:eastAsia="Calibri"/>
        </w:rPr>
        <w:t>requirements of ICAAP under the new Pillar II</w:t>
      </w:r>
      <w:r w:rsidR="003622EC" w:rsidRPr="00DE68A1">
        <w:rPr>
          <w:rFonts w:eastAsia="Calibri"/>
        </w:rPr>
        <w:t xml:space="preserve"> and buffers determining economic capital</w:t>
      </w:r>
      <w:r w:rsidRPr="00DE68A1">
        <w:rPr>
          <w:rFonts w:eastAsia="Calibri"/>
        </w:rPr>
        <w:t xml:space="preserve">. </w:t>
      </w:r>
      <w:r w:rsidR="003622EC" w:rsidRPr="00DE68A1">
        <w:rPr>
          <w:rFonts w:eastAsia="Calibri"/>
        </w:rPr>
        <w:t>W</w:t>
      </w:r>
      <w:r w:rsidRPr="00DE68A1">
        <w:rPr>
          <w:rFonts w:eastAsia="Calibri"/>
        </w:rPr>
        <w:t xml:space="preserve">ith the planned expansion of the asset portfolio as per the Bank's strategic plan, the capital adequacy ratio is expected to remain substantially above minimum </w:t>
      </w:r>
      <w:r w:rsidR="003622EC" w:rsidRPr="00DE68A1">
        <w:rPr>
          <w:rFonts w:eastAsia="Calibri"/>
        </w:rPr>
        <w:t xml:space="preserve">regulatory </w:t>
      </w:r>
      <w:r w:rsidR="00DE68A1" w:rsidRPr="00DE68A1">
        <w:rPr>
          <w:rFonts w:eastAsia="Calibri"/>
        </w:rPr>
        <w:t>requirements which</w:t>
      </w:r>
      <w:r w:rsidR="00E40AC9" w:rsidRPr="00DE68A1">
        <w:rPr>
          <w:rFonts w:eastAsia="Calibri"/>
        </w:rPr>
        <w:t xml:space="preserve"> is </w:t>
      </w:r>
      <w:r w:rsidR="00CD7649" w:rsidRPr="00DE68A1">
        <w:rPr>
          <w:rFonts w:eastAsia="Calibri"/>
        </w:rPr>
        <w:t>55.39</w:t>
      </w:r>
      <w:r w:rsidR="00E40AC9" w:rsidRPr="00DE68A1">
        <w:rPr>
          <w:rFonts w:eastAsia="Calibri"/>
        </w:rPr>
        <w:t>% as on 31.12.202</w:t>
      </w:r>
      <w:r w:rsidR="00072896" w:rsidRPr="00DE68A1">
        <w:rPr>
          <w:rFonts w:eastAsia="Calibri"/>
        </w:rPr>
        <w:t>5</w:t>
      </w:r>
      <w:r w:rsidR="00E40AC9" w:rsidRPr="00DE68A1">
        <w:rPr>
          <w:rFonts w:eastAsia="Calibri"/>
        </w:rPr>
        <w:t xml:space="preserve">, </w:t>
      </w:r>
      <w:r w:rsidRPr="00DE68A1">
        <w:rPr>
          <w:rFonts w:eastAsia="Calibri"/>
        </w:rPr>
        <w:t>in the foreseeable future. This strong capitalization provides a cushion against low diversification opportunities due to the government mandate to service and develop the industrial sector in Kuwait</w:t>
      </w:r>
      <w:r w:rsidR="00E07797" w:rsidRPr="00DE68A1">
        <w:rPr>
          <w:rFonts w:eastAsia="Calibri"/>
        </w:rPr>
        <w:t>.</w:t>
      </w:r>
      <w:r w:rsidR="005252F8" w:rsidRPr="00DE68A1">
        <w:rPr>
          <w:rFonts w:eastAsia="Calibri"/>
        </w:rPr>
        <w:t xml:space="preserve"> </w:t>
      </w:r>
    </w:p>
    <w:p w14:paraId="2AADD332" w14:textId="3FA51B7F" w:rsidR="000A380A" w:rsidRPr="00DE68A1" w:rsidRDefault="00C2501E" w:rsidP="002A1769">
      <w:pPr>
        <w:bidi w:val="0"/>
        <w:rPr>
          <w:b/>
          <w:bCs/>
          <w:sz w:val="22"/>
          <w:szCs w:val="22"/>
        </w:rPr>
      </w:pPr>
      <w:r w:rsidRPr="00DE68A1">
        <w:rPr>
          <w:b/>
          <w:bCs/>
          <w:sz w:val="22"/>
          <w:szCs w:val="22"/>
        </w:rPr>
        <w:t>C</w:t>
      </w:r>
      <w:r w:rsidR="00AA7462" w:rsidRPr="00DE68A1">
        <w:rPr>
          <w:b/>
          <w:bCs/>
          <w:sz w:val="22"/>
          <w:szCs w:val="22"/>
        </w:rPr>
        <w:t xml:space="preserve">apital </w:t>
      </w:r>
      <w:r w:rsidR="00CD20E9" w:rsidRPr="00DE68A1">
        <w:rPr>
          <w:b/>
          <w:bCs/>
          <w:sz w:val="22"/>
          <w:szCs w:val="22"/>
        </w:rPr>
        <w:t>Structure and Adequacy:</w:t>
      </w:r>
    </w:p>
    <w:p w14:paraId="698BE381" w14:textId="77777777" w:rsidR="00A04693" w:rsidRPr="00DE68A1" w:rsidRDefault="00A04693" w:rsidP="00A04693">
      <w:pPr>
        <w:bidi w:val="0"/>
        <w:rPr>
          <w:b/>
          <w:bCs/>
          <w:sz w:val="22"/>
          <w:szCs w:val="22"/>
        </w:rPr>
      </w:pPr>
    </w:p>
    <w:p w14:paraId="36A3AA80" w14:textId="1E0BDA90" w:rsidR="00AA7462" w:rsidRPr="00DE68A1" w:rsidRDefault="003622EC" w:rsidP="009867C3">
      <w:pPr>
        <w:bidi w:val="0"/>
        <w:spacing w:after="200" w:line="276" w:lineRule="auto"/>
        <w:jc w:val="both"/>
        <w:rPr>
          <w:rFonts w:eastAsia="Calibri"/>
        </w:rPr>
      </w:pPr>
      <w:r w:rsidRPr="00DE68A1">
        <w:rPr>
          <w:rFonts w:eastAsia="Calibri"/>
        </w:rPr>
        <w:t>In addition to</w:t>
      </w:r>
      <w:r w:rsidR="00AA7462" w:rsidRPr="00DE68A1">
        <w:rPr>
          <w:rFonts w:eastAsia="Calibri"/>
        </w:rPr>
        <w:t xml:space="preserve"> the paid-up capital of KD 20 million and significant disclosed voluntary reserves, the principal corpus of </w:t>
      </w:r>
      <w:r w:rsidR="00BF0834" w:rsidRPr="00DE68A1">
        <w:rPr>
          <w:rFonts w:eastAsia="Calibri"/>
        </w:rPr>
        <w:t>long-term</w:t>
      </w:r>
      <w:r w:rsidR="00AA7462" w:rsidRPr="00DE68A1">
        <w:rPr>
          <w:rFonts w:eastAsia="Calibri"/>
        </w:rPr>
        <w:t xml:space="preserve"> funds for the Bank is a </w:t>
      </w:r>
      <w:r w:rsidR="00786FB4" w:rsidRPr="00DE68A1">
        <w:rPr>
          <w:rFonts w:eastAsia="Calibri"/>
        </w:rPr>
        <w:t xml:space="preserve">renewable </w:t>
      </w:r>
      <w:r w:rsidR="00BF0834" w:rsidRPr="00DE68A1">
        <w:rPr>
          <w:rFonts w:eastAsia="Calibri"/>
        </w:rPr>
        <w:t>long-term</w:t>
      </w:r>
      <w:r w:rsidR="00AA7462" w:rsidRPr="00DE68A1">
        <w:rPr>
          <w:rFonts w:eastAsia="Calibri"/>
        </w:rPr>
        <w:t xml:space="preserve"> loan of Kuwaiti Dinars (“KD”) </w:t>
      </w:r>
      <w:r w:rsidR="007554CC" w:rsidRPr="00DE68A1">
        <w:rPr>
          <w:rFonts w:eastAsia="Calibri"/>
        </w:rPr>
        <w:t>3</w:t>
      </w:r>
      <w:r w:rsidR="00AA7462" w:rsidRPr="00DE68A1">
        <w:rPr>
          <w:rFonts w:eastAsia="Calibri"/>
        </w:rPr>
        <w:t>00</w:t>
      </w:r>
      <w:r w:rsidR="009867C3" w:rsidRPr="00DE68A1">
        <w:rPr>
          <w:rFonts w:eastAsia="Calibri"/>
        </w:rPr>
        <w:t xml:space="preserve"> Million</w:t>
      </w:r>
      <w:r w:rsidR="00AA7462" w:rsidRPr="00DE68A1">
        <w:rPr>
          <w:rFonts w:eastAsia="Calibri"/>
        </w:rPr>
        <w:t xml:space="preserve"> </w:t>
      </w:r>
      <w:r w:rsidR="00CD20E9" w:rsidRPr="00DE68A1">
        <w:rPr>
          <w:rFonts w:eastAsia="Calibri"/>
        </w:rPr>
        <w:t>(</w:t>
      </w:r>
      <w:r w:rsidR="00604B56" w:rsidRPr="00DE68A1">
        <w:rPr>
          <w:rFonts w:eastAsia="Calibri"/>
        </w:rPr>
        <w:t>=</w:t>
      </w:r>
      <w:r w:rsidR="00361712" w:rsidRPr="00DE68A1">
        <w:rPr>
          <w:rFonts w:eastAsia="Calibri"/>
        </w:rPr>
        <w:t xml:space="preserve"> USD 990 Million </w:t>
      </w:r>
      <w:r w:rsidR="00CD20E9" w:rsidRPr="00DE68A1">
        <w:rPr>
          <w:rFonts w:eastAsia="Calibri"/>
        </w:rPr>
        <w:t>approx..</w:t>
      </w:r>
      <w:r w:rsidR="00AA7462" w:rsidRPr="00DE68A1">
        <w:rPr>
          <w:rFonts w:eastAsia="Calibri"/>
        </w:rPr>
        <w:t>) from the Government of Kuwait</w:t>
      </w:r>
      <w:r w:rsidR="003F08D9" w:rsidRPr="00DE68A1">
        <w:rPr>
          <w:rFonts w:eastAsia="Calibri"/>
        </w:rPr>
        <w:t xml:space="preserve"> first given through an Amiri decree in 1973</w:t>
      </w:r>
      <w:r w:rsidR="00AA7462" w:rsidRPr="00DE68A1">
        <w:rPr>
          <w:rFonts w:eastAsia="Calibri"/>
        </w:rPr>
        <w:t xml:space="preserve">, from which the Bank’s Projects Division provides </w:t>
      </w:r>
      <w:r w:rsidR="00B066EC" w:rsidRPr="00DE68A1">
        <w:rPr>
          <w:rFonts w:eastAsia="Calibri"/>
        </w:rPr>
        <w:t>medium- and long-term</w:t>
      </w:r>
      <w:r w:rsidR="00AA7462" w:rsidRPr="00DE68A1">
        <w:rPr>
          <w:rFonts w:eastAsia="Calibri"/>
        </w:rPr>
        <w:t xml:space="preserve"> project finance to its industrial borrowers at concessionary pricing.</w:t>
      </w:r>
      <w:r w:rsidR="00DB6CDE" w:rsidRPr="00DE68A1">
        <w:rPr>
          <w:rFonts w:eastAsia="Calibri"/>
        </w:rPr>
        <w:t xml:space="preserve"> </w:t>
      </w:r>
    </w:p>
    <w:p w14:paraId="448E0434" w14:textId="77777777" w:rsidR="004A43CB" w:rsidRPr="00DE68A1" w:rsidRDefault="0073318D" w:rsidP="00A04693">
      <w:pPr>
        <w:bidi w:val="0"/>
        <w:rPr>
          <w:b/>
          <w:bCs/>
          <w:sz w:val="22"/>
          <w:szCs w:val="22"/>
        </w:rPr>
      </w:pPr>
      <w:r w:rsidRPr="00DE68A1">
        <w:rPr>
          <w:b/>
          <w:bCs/>
          <w:sz w:val="22"/>
          <w:szCs w:val="22"/>
        </w:rPr>
        <w:t xml:space="preserve">Subsidiaries: </w:t>
      </w:r>
    </w:p>
    <w:p w14:paraId="17442518" w14:textId="77777777" w:rsidR="00A04693" w:rsidRPr="00DE68A1" w:rsidRDefault="00A04693" w:rsidP="00A04693">
      <w:pPr>
        <w:bidi w:val="0"/>
        <w:rPr>
          <w:b/>
          <w:bCs/>
          <w:sz w:val="22"/>
          <w:szCs w:val="22"/>
        </w:rPr>
      </w:pPr>
    </w:p>
    <w:p w14:paraId="53E68ECC" w14:textId="58BADBE6" w:rsidR="00621EAB" w:rsidRPr="00DE68A1" w:rsidRDefault="0073318D" w:rsidP="00B617A7">
      <w:pPr>
        <w:bidi w:val="0"/>
        <w:spacing w:after="200" w:line="276" w:lineRule="auto"/>
        <w:jc w:val="both"/>
        <w:rPr>
          <w:rFonts w:eastAsia="Calibri"/>
        </w:rPr>
      </w:pPr>
      <w:r w:rsidRPr="00DE68A1">
        <w:rPr>
          <w:rFonts w:eastAsia="Calibri"/>
        </w:rPr>
        <w:t xml:space="preserve">The top corporate entity is The Industrial Bank of Kuwait K.S.C. The Bank has two </w:t>
      </w:r>
      <w:r w:rsidR="0005273F" w:rsidRPr="00DE68A1">
        <w:rPr>
          <w:rFonts w:eastAsia="Calibri"/>
        </w:rPr>
        <w:t>wholly owned</w:t>
      </w:r>
      <w:r w:rsidRPr="00DE68A1">
        <w:rPr>
          <w:rFonts w:eastAsia="Calibri"/>
        </w:rPr>
        <w:t xml:space="preserve"> subsidiaries, Kuwait Industrial Projects Company KSCC</w:t>
      </w:r>
      <w:r w:rsidR="003F08D9" w:rsidRPr="00DE68A1">
        <w:rPr>
          <w:rFonts w:eastAsia="Calibri"/>
        </w:rPr>
        <w:t xml:space="preserve"> (KIPCO)</w:t>
      </w:r>
      <w:r w:rsidRPr="00DE68A1">
        <w:rPr>
          <w:rFonts w:eastAsia="Calibri"/>
        </w:rPr>
        <w:t xml:space="preserve">, a Kuwaiti closed shareholding company (“KIPCO”), and </w:t>
      </w:r>
      <w:proofErr w:type="spellStart"/>
      <w:r w:rsidRPr="00DE68A1">
        <w:rPr>
          <w:rFonts w:eastAsia="Calibri"/>
        </w:rPr>
        <w:t>Senaey</w:t>
      </w:r>
      <w:proofErr w:type="spellEnd"/>
      <w:r w:rsidRPr="00DE68A1">
        <w:rPr>
          <w:rFonts w:eastAsia="Calibri"/>
        </w:rPr>
        <w:t xml:space="preserve"> Enterprises Ltd, a limited liability company incorporated in George Town, Grand Cayman, the British West Indies (together “the Group”). KIPCO is the Group’s vehicle for </w:t>
      </w:r>
      <w:r w:rsidR="00BD0165" w:rsidRPr="00DE68A1">
        <w:rPr>
          <w:rFonts w:eastAsia="Calibri"/>
        </w:rPr>
        <w:t xml:space="preserve">domestic investments and for </w:t>
      </w:r>
      <w:r w:rsidRPr="00DE68A1">
        <w:rPr>
          <w:rFonts w:eastAsia="Calibri"/>
        </w:rPr>
        <w:t xml:space="preserve">holding and managing assets taken over by the Bank </w:t>
      </w:r>
      <w:r w:rsidR="0005273F" w:rsidRPr="00DE68A1">
        <w:rPr>
          <w:rFonts w:eastAsia="Calibri"/>
        </w:rPr>
        <w:t>because</w:t>
      </w:r>
      <w:r w:rsidRPr="00DE68A1">
        <w:rPr>
          <w:rFonts w:eastAsia="Calibri"/>
        </w:rPr>
        <w:t xml:space="preserve"> of domestic loan defaults</w:t>
      </w:r>
      <w:r w:rsidR="00600D8C" w:rsidRPr="00DE68A1">
        <w:rPr>
          <w:rFonts w:eastAsia="Calibri"/>
        </w:rPr>
        <w:t>;</w:t>
      </w:r>
      <w:r w:rsidRPr="00DE68A1">
        <w:rPr>
          <w:rFonts w:eastAsia="Calibri"/>
        </w:rPr>
        <w:t xml:space="preserve"> it accounts for some </w:t>
      </w:r>
      <w:r w:rsidR="00C564A4" w:rsidRPr="00DE68A1">
        <w:rPr>
          <w:rFonts w:eastAsia="Calibri"/>
        </w:rPr>
        <w:t>6</w:t>
      </w:r>
      <w:r w:rsidRPr="00DE68A1">
        <w:rPr>
          <w:rFonts w:eastAsia="Calibri"/>
        </w:rPr>
        <w:t xml:space="preserve">% of the total Group assets. </w:t>
      </w:r>
      <w:proofErr w:type="spellStart"/>
      <w:r w:rsidRPr="00DE68A1">
        <w:rPr>
          <w:rFonts w:eastAsia="Calibri"/>
        </w:rPr>
        <w:t>Senaey</w:t>
      </w:r>
      <w:proofErr w:type="spellEnd"/>
      <w:r w:rsidRPr="00DE68A1">
        <w:rPr>
          <w:rFonts w:eastAsia="Calibri"/>
        </w:rPr>
        <w:t xml:space="preserve"> Enterprises is insignificant and not a material element of the Group </w:t>
      </w:r>
      <w:r w:rsidR="000C4014" w:rsidRPr="00DE68A1">
        <w:rPr>
          <w:rFonts w:eastAsia="Calibri"/>
        </w:rPr>
        <w:t>statement of financial position</w:t>
      </w:r>
      <w:r w:rsidRPr="00DE68A1">
        <w:rPr>
          <w:rFonts w:eastAsia="Calibri"/>
        </w:rPr>
        <w:t>. Capital adequacy data submitted to the Central Bank of Kuwait includes relevant data from both subsidiaries on a fully consolidated basis.</w:t>
      </w:r>
    </w:p>
    <w:p w14:paraId="0E7546A9" w14:textId="58F03D31" w:rsidR="004A43CB" w:rsidRPr="00DE68A1" w:rsidRDefault="004A43CB" w:rsidP="00436C45">
      <w:pPr>
        <w:bidi w:val="0"/>
        <w:jc w:val="center"/>
        <w:rPr>
          <w:b/>
          <w:bCs/>
          <w:u w:val="single"/>
        </w:rPr>
      </w:pPr>
      <w:r w:rsidRPr="00DE68A1">
        <w:rPr>
          <w:b/>
          <w:bCs/>
          <w:u w:val="single"/>
        </w:rPr>
        <w:t>Capital Structure – 31</w:t>
      </w:r>
      <w:r w:rsidR="008B0912" w:rsidRPr="00DE68A1">
        <w:rPr>
          <w:b/>
          <w:bCs/>
          <w:u w:val="single"/>
          <w:vertAlign w:val="superscript"/>
        </w:rPr>
        <w:t>st</w:t>
      </w:r>
      <w:r w:rsidR="009867C3" w:rsidRPr="00DE68A1">
        <w:rPr>
          <w:b/>
          <w:bCs/>
          <w:u w:val="single"/>
        </w:rPr>
        <w:t xml:space="preserve"> December</w:t>
      </w:r>
      <w:r w:rsidR="008B0912" w:rsidRPr="00DE68A1">
        <w:rPr>
          <w:b/>
          <w:bCs/>
          <w:u w:val="single"/>
        </w:rPr>
        <w:t xml:space="preserve"> </w:t>
      </w:r>
      <w:r w:rsidR="00E01875" w:rsidRPr="00DE68A1">
        <w:rPr>
          <w:b/>
          <w:bCs/>
          <w:u w:val="single"/>
        </w:rPr>
        <w:t>202</w:t>
      </w:r>
      <w:r w:rsidR="00072896" w:rsidRPr="00DE68A1">
        <w:rPr>
          <w:b/>
          <w:bCs/>
          <w:u w:val="single"/>
        </w:rPr>
        <w:t>5</w:t>
      </w:r>
      <w:r w:rsidR="00271102" w:rsidRPr="00DE68A1">
        <w:rPr>
          <w:b/>
          <w:bCs/>
          <w:u w:val="single"/>
        </w:rPr>
        <w:t xml:space="preserve"> (All figures in KD’000)</w:t>
      </w:r>
    </w:p>
    <w:p w14:paraId="442480B6" w14:textId="77777777" w:rsidR="00221745" w:rsidRPr="00DE68A1" w:rsidRDefault="00221745" w:rsidP="00221745">
      <w:pPr>
        <w:bidi w:val="0"/>
        <w:jc w:val="center"/>
        <w:rPr>
          <w:b/>
          <w:bCs/>
          <w:u w:val="single"/>
        </w:rPr>
      </w:pPr>
    </w:p>
    <w:tbl>
      <w:tblPr>
        <w:tblW w:w="8313" w:type="dxa"/>
        <w:tblInd w:w="433" w:type="dxa"/>
        <w:tblLook w:val="04A0" w:firstRow="1" w:lastRow="0" w:firstColumn="1" w:lastColumn="0" w:noHBand="0" w:noVBand="1"/>
      </w:tblPr>
      <w:tblGrid>
        <w:gridCol w:w="283"/>
        <w:gridCol w:w="4182"/>
        <w:gridCol w:w="1915"/>
        <w:gridCol w:w="1933"/>
      </w:tblGrid>
      <w:tr w:rsidR="00FC0E27" w:rsidRPr="00DE68A1" w14:paraId="4CB7CEBB" w14:textId="77777777" w:rsidTr="00FC0E27">
        <w:trPr>
          <w:trHeight w:val="252"/>
        </w:trPr>
        <w:tc>
          <w:tcPr>
            <w:tcW w:w="6380" w:type="dxa"/>
            <w:gridSpan w:val="3"/>
            <w:tcBorders>
              <w:top w:val="single" w:sz="4" w:space="0" w:color="auto"/>
              <w:left w:val="single" w:sz="8" w:space="0" w:color="auto"/>
              <w:bottom w:val="single" w:sz="4" w:space="0" w:color="auto"/>
              <w:right w:val="single" w:sz="4" w:space="0" w:color="auto"/>
            </w:tcBorders>
            <w:noWrap/>
            <w:vAlign w:val="bottom"/>
            <w:hideMark/>
          </w:tcPr>
          <w:p w14:paraId="1CCE7881" w14:textId="77777777" w:rsidR="00FC0E27" w:rsidRPr="00DE68A1" w:rsidRDefault="00FC0E27" w:rsidP="00FC0E27">
            <w:pPr>
              <w:bidi w:val="0"/>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 xml:space="preserve">Total Tier - 1 Capital </w:t>
            </w:r>
          </w:p>
        </w:tc>
        <w:tc>
          <w:tcPr>
            <w:tcW w:w="1933" w:type="dxa"/>
            <w:tcBorders>
              <w:top w:val="single" w:sz="4" w:space="0" w:color="auto"/>
              <w:left w:val="nil"/>
              <w:bottom w:val="single" w:sz="4" w:space="0" w:color="auto"/>
              <w:right w:val="single" w:sz="8" w:space="0" w:color="auto"/>
            </w:tcBorders>
            <w:noWrap/>
            <w:vAlign w:val="bottom"/>
            <w:hideMark/>
          </w:tcPr>
          <w:p w14:paraId="37F1A79C" w14:textId="3E85E27E" w:rsidR="00FC0E27" w:rsidRPr="00DE68A1" w:rsidRDefault="0028083E" w:rsidP="00FC0E27">
            <w:pPr>
              <w:bidi w:val="0"/>
              <w:jc w:val="right"/>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355</w:t>
            </w:r>
            <w:r w:rsidR="00BB2398">
              <w:rPr>
                <w:rFonts w:asciiTheme="minorHAnsi" w:hAnsiTheme="minorHAnsi" w:cstheme="minorHAnsi"/>
                <w:b/>
                <w:bCs/>
                <w:color w:val="000000"/>
                <w:sz w:val="18"/>
                <w:szCs w:val="18"/>
              </w:rPr>
              <w:t>,</w:t>
            </w:r>
            <w:r w:rsidRPr="00DE68A1">
              <w:rPr>
                <w:rFonts w:asciiTheme="minorHAnsi" w:hAnsiTheme="minorHAnsi" w:cstheme="minorHAnsi"/>
                <w:b/>
                <w:bCs/>
                <w:color w:val="000000"/>
                <w:sz w:val="18"/>
                <w:szCs w:val="18"/>
              </w:rPr>
              <w:t>600</w:t>
            </w:r>
          </w:p>
        </w:tc>
      </w:tr>
      <w:tr w:rsidR="00FC0E27" w:rsidRPr="00DE68A1" w14:paraId="2EC8B8F8" w14:textId="77777777" w:rsidTr="00FC0E27">
        <w:trPr>
          <w:trHeight w:val="252"/>
        </w:trPr>
        <w:tc>
          <w:tcPr>
            <w:tcW w:w="8313" w:type="dxa"/>
            <w:gridSpan w:val="4"/>
            <w:tcBorders>
              <w:top w:val="single" w:sz="4" w:space="0" w:color="auto"/>
              <w:left w:val="single" w:sz="8" w:space="0" w:color="auto"/>
              <w:bottom w:val="single" w:sz="4" w:space="0" w:color="auto"/>
              <w:right w:val="single" w:sz="8" w:space="0" w:color="000000"/>
            </w:tcBorders>
            <w:noWrap/>
            <w:vAlign w:val="bottom"/>
            <w:hideMark/>
          </w:tcPr>
          <w:p w14:paraId="4282CB94" w14:textId="77777777" w:rsidR="00FC0E27" w:rsidRPr="00DE68A1" w:rsidRDefault="00FC0E27" w:rsidP="00FC0E2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r>
      <w:tr w:rsidR="00FC0E27" w:rsidRPr="00DE68A1" w14:paraId="38C22FBA" w14:textId="77777777" w:rsidTr="00FC0E27">
        <w:trPr>
          <w:trHeight w:val="252"/>
        </w:trPr>
        <w:tc>
          <w:tcPr>
            <w:tcW w:w="6380" w:type="dxa"/>
            <w:gridSpan w:val="3"/>
            <w:tcBorders>
              <w:top w:val="single" w:sz="4" w:space="0" w:color="auto"/>
              <w:left w:val="single" w:sz="8" w:space="0" w:color="auto"/>
              <w:bottom w:val="single" w:sz="4" w:space="0" w:color="auto"/>
              <w:right w:val="single" w:sz="4" w:space="0" w:color="auto"/>
            </w:tcBorders>
            <w:noWrap/>
            <w:vAlign w:val="bottom"/>
            <w:hideMark/>
          </w:tcPr>
          <w:p w14:paraId="656CD184" w14:textId="347B1C8F" w:rsidR="00FC0E27" w:rsidRPr="00DE68A1" w:rsidRDefault="00DE68A1"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Shareholders</w:t>
            </w:r>
            <w:r w:rsidR="00FC0E27" w:rsidRPr="00DE68A1">
              <w:rPr>
                <w:rFonts w:asciiTheme="minorHAnsi" w:hAnsiTheme="minorHAnsi" w:cstheme="minorHAnsi"/>
                <w:color w:val="000000"/>
                <w:sz w:val="18"/>
                <w:szCs w:val="18"/>
              </w:rPr>
              <w:t>' Equity</w:t>
            </w:r>
          </w:p>
        </w:tc>
        <w:tc>
          <w:tcPr>
            <w:tcW w:w="1933" w:type="dxa"/>
            <w:tcBorders>
              <w:top w:val="nil"/>
              <w:left w:val="nil"/>
              <w:bottom w:val="single" w:sz="4" w:space="0" w:color="auto"/>
              <w:right w:val="single" w:sz="8" w:space="0" w:color="auto"/>
            </w:tcBorders>
            <w:noWrap/>
            <w:vAlign w:val="bottom"/>
            <w:hideMark/>
          </w:tcPr>
          <w:p w14:paraId="1AAEA37A" w14:textId="6DA3DFE8" w:rsidR="00FC0E27" w:rsidRPr="00DE68A1" w:rsidRDefault="00FC0E27"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20</w:t>
            </w:r>
            <w:r w:rsidR="00FB5B54" w:rsidRPr="00DE68A1">
              <w:rPr>
                <w:rFonts w:asciiTheme="minorHAnsi" w:hAnsiTheme="minorHAnsi" w:cstheme="minorHAnsi"/>
                <w:color w:val="000000"/>
                <w:sz w:val="18"/>
                <w:szCs w:val="18"/>
              </w:rPr>
              <w:t>,</w:t>
            </w:r>
            <w:r w:rsidRPr="00DE68A1">
              <w:rPr>
                <w:rFonts w:asciiTheme="minorHAnsi" w:hAnsiTheme="minorHAnsi" w:cstheme="minorHAnsi"/>
                <w:color w:val="000000"/>
                <w:sz w:val="18"/>
                <w:szCs w:val="18"/>
              </w:rPr>
              <w:t>000</w:t>
            </w:r>
          </w:p>
        </w:tc>
      </w:tr>
      <w:tr w:rsidR="00FC0E27" w:rsidRPr="00DE68A1" w14:paraId="1092C146" w14:textId="77777777" w:rsidTr="00FC0E27">
        <w:trPr>
          <w:trHeight w:val="252"/>
        </w:trPr>
        <w:tc>
          <w:tcPr>
            <w:tcW w:w="6380" w:type="dxa"/>
            <w:gridSpan w:val="3"/>
            <w:tcBorders>
              <w:top w:val="single" w:sz="4" w:space="0" w:color="auto"/>
              <w:left w:val="single" w:sz="8" w:space="0" w:color="auto"/>
              <w:bottom w:val="single" w:sz="4" w:space="0" w:color="auto"/>
              <w:right w:val="single" w:sz="4" w:space="0" w:color="auto"/>
            </w:tcBorders>
            <w:noWrap/>
            <w:vAlign w:val="bottom"/>
            <w:hideMark/>
          </w:tcPr>
          <w:p w14:paraId="0CADB316" w14:textId="6584CDBF"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Reserves:</w:t>
            </w:r>
          </w:p>
        </w:tc>
        <w:tc>
          <w:tcPr>
            <w:tcW w:w="1933" w:type="dxa"/>
            <w:tcBorders>
              <w:top w:val="nil"/>
              <w:left w:val="nil"/>
              <w:bottom w:val="single" w:sz="4" w:space="0" w:color="auto"/>
              <w:right w:val="single" w:sz="8" w:space="0" w:color="auto"/>
            </w:tcBorders>
            <w:noWrap/>
            <w:vAlign w:val="bottom"/>
            <w:hideMark/>
          </w:tcPr>
          <w:p w14:paraId="7EBC1586"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r>
      <w:tr w:rsidR="00FC0E27" w:rsidRPr="00DE68A1" w14:paraId="77B4E060" w14:textId="77777777" w:rsidTr="00FC0E27">
        <w:trPr>
          <w:trHeight w:val="252"/>
        </w:trPr>
        <w:tc>
          <w:tcPr>
            <w:tcW w:w="283" w:type="dxa"/>
            <w:tcBorders>
              <w:top w:val="nil"/>
              <w:left w:val="single" w:sz="8" w:space="0" w:color="auto"/>
              <w:bottom w:val="single" w:sz="4" w:space="0" w:color="auto"/>
              <w:right w:val="single" w:sz="4" w:space="0" w:color="auto"/>
            </w:tcBorders>
            <w:noWrap/>
            <w:vAlign w:val="bottom"/>
            <w:hideMark/>
          </w:tcPr>
          <w:p w14:paraId="690D5D30"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4182" w:type="dxa"/>
            <w:tcBorders>
              <w:top w:val="single" w:sz="4" w:space="0" w:color="auto"/>
              <w:left w:val="nil"/>
              <w:bottom w:val="single" w:sz="4" w:space="0" w:color="auto"/>
              <w:right w:val="single" w:sz="4" w:space="0" w:color="auto"/>
            </w:tcBorders>
            <w:noWrap/>
            <w:vAlign w:val="bottom"/>
            <w:hideMark/>
          </w:tcPr>
          <w:p w14:paraId="40BCF492"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Legal reserves              </w:t>
            </w:r>
          </w:p>
        </w:tc>
        <w:tc>
          <w:tcPr>
            <w:tcW w:w="1915" w:type="dxa"/>
            <w:tcBorders>
              <w:top w:val="nil"/>
              <w:left w:val="nil"/>
              <w:bottom w:val="single" w:sz="4" w:space="0" w:color="auto"/>
              <w:right w:val="single" w:sz="4" w:space="0" w:color="auto"/>
            </w:tcBorders>
            <w:noWrap/>
            <w:vAlign w:val="bottom"/>
            <w:hideMark/>
          </w:tcPr>
          <w:p w14:paraId="2BFF61BA" w14:textId="75D8A1EC" w:rsidR="00FC0E27" w:rsidRPr="00DE68A1" w:rsidRDefault="00CD7649"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53</w:t>
            </w:r>
            <w:r w:rsidR="003047C2">
              <w:rPr>
                <w:rFonts w:asciiTheme="minorHAnsi" w:hAnsiTheme="minorHAnsi" w:cstheme="minorHAnsi"/>
                <w:color w:val="000000"/>
                <w:sz w:val="18"/>
                <w:szCs w:val="18"/>
              </w:rPr>
              <w:t>,</w:t>
            </w:r>
            <w:r w:rsidRPr="00DE68A1">
              <w:rPr>
                <w:rFonts w:asciiTheme="minorHAnsi" w:hAnsiTheme="minorHAnsi" w:cstheme="minorHAnsi"/>
                <w:color w:val="000000"/>
                <w:sz w:val="18"/>
                <w:szCs w:val="18"/>
              </w:rPr>
              <w:t>081</w:t>
            </w:r>
          </w:p>
        </w:tc>
        <w:tc>
          <w:tcPr>
            <w:tcW w:w="1933" w:type="dxa"/>
            <w:tcBorders>
              <w:top w:val="nil"/>
              <w:left w:val="nil"/>
              <w:bottom w:val="single" w:sz="4" w:space="0" w:color="auto"/>
              <w:right w:val="single" w:sz="8" w:space="0" w:color="auto"/>
            </w:tcBorders>
            <w:noWrap/>
            <w:vAlign w:val="bottom"/>
            <w:hideMark/>
          </w:tcPr>
          <w:p w14:paraId="7F54EA7E"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r>
      <w:tr w:rsidR="00FC0E27" w:rsidRPr="00DE68A1" w14:paraId="5A31A18D" w14:textId="77777777" w:rsidTr="00FC0E27">
        <w:trPr>
          <w:trHeight w:val="252"/>
        </w:trPr>
        <w:tc>
          <w:tcPr>
            <w:tcW w:w="283" w:type="dxa"/>
            <w:tcBorders>
              <w:top w:val="nil"/>
              <w:left w:val="single" w:sz="8" w:space="0" w:color="auto"/>
              <w:bottom w:val="single" w:sz="4" w:space="0" w:color="auto"/>
              <w:right w:val="single" w:sz="4" w:space="0" w:color="auto"/>
            </w:tcBorders>
            <w:noWrap/>
            <w:vAlign w:val="bottom"/>
            <w:hideMark/>
          </w:tcPr>
          <w:p w14:paraId="7110C5C6"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4182" w:type="dxa"/>
            <w:tcBorders>
              <w:top w:val="single" w:sz="4" w:space="0" w:color="auto"/>
              <w:left w:val="nil"/>
              <w:bottom w:val="single" w:sz="4" w:space="0" w:color="auto"/>
              <w:right w:val="single" w:sz="4" w:space="0" w:color="auto"/>
            </w:tcBorders>
            <w:noWrap/>
            <w:vAlign w:val="bottom"/>
            <w:hideMark/>
          </w:tcPr>
          <w:p w14:paraId="2B80235C"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Voluntary reserves</w:t>
            </w:r>
          </w:p>
        </w:tc>
        <w:tc>
          <w:tcPr>
            <w:tcW w:w="1915" w:type="dxa"/>
            <w:tcBorders>
              <w:top w:val="nil"/>
              <w:left w:val="nil"/>
              <w:bottom w:val="single" w:sz="4" w:space="0" w:color="auto"/>
              <w:right w:val="single" w:sz="4" w:space="0" w:color="auto"/>
            </w:tcBorders>
            <w:noWrap/>
            <w:vAlign w:val="bottom"/>
            <w:hideMark/>
          </w:tcPr>
          <w:p w14:paraId="6DD93F95" w14:textId="12C8D70B" w:rsidR="00FC0E27" w:rsidRPr="00DE68A1" w:rsidRDefault="00CD7649"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157</w:t>
            </w:r>
            <w:r w:rsidR="003047C2">
              <w:rPr>
                <w:rFonts w:asciiTheme="minorHAnsi" w:hAnsiTheme="minorHAnsi" w:cstheme="minorHAnsi"/>
                <w:color w:val="000000"/>
                <w:sz w:val="18"/>
                <w:szCs w:val="18"/>
              </w:rPr>
              <w:t>,</w:t>
            </w:r>
            <w:r w:rsidRPr="00DE68A1">
              <w:rPr>
                <w:rFonts w:asciiTheme="minorHAnsi" w:hAnsiTheme="minorHAnsi" w:cstheme="minorHAnsi"/>
                <w:color w:val="000000"/>
                <w:sz w:val="18"/>
                <w:szCs w:val="18"/>
              </w:rPr>
              <w:t>219</w:t>
            </w:r>
          </w:p>
        </w:tc>
        <w:tc>
          <w:tcPr>
            <w:tcW w:w="1933" w:type="dxa"/>
            <w:tcBorders>
              <w:top w:val="nil"/>
              <w:left w:val="nil"/>
              <w:bottom w:val="single" w:sz="4" w:space="0" w:color="auto"/>
              <w:right w:val="single" w:sz="8" w:space="0" w:color="auto"/>
            </w:tcBorders>
            <w:noWrap/>
            <w:vAlign w:val="bottom"/>
            <w:hideMark/>
          </w:tcPr>
          <w:p w14:paraId="42693C0D"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r>
      <w:tr w:rsidR="00FC0E27" w:rsidRPr="00DE68A1" w14:paraId="7B1F4F16" w14:textId="77777777" w:rsidTr="00FC0E27">
        <w:trPr>
          <w:trHeight w:val="252"/>
        </w:trPr>
        <w:tc>
          <w:tcPr>
            <w:tcW w:w="283" w:type="dxa"/>
            <w:tcBorders>
              <w:top w:val="nil"/>
              <w:left w:val="single" w:sz="8" w:space="0" w:color="auto"/>
              <w:bottom w:val="single" w:sz="4" w:space="0" w:color="auto"/>
              <w:right w:val="single" w:sz="4" w:space="0" w:color="auto"/>
            </w:tcBorders>
            <w:noWrap/>
            <w:vAlign w:val="bottom"/>
            <w:hideMark/>
          </w:tcPr>
          <w:p w14:paraId="3D0F8E77"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4182" w:type="dxa"/>
            <w:tcBorders>
              <w:top w:val="single" w:sz="4" w:space="0" w:color="auto"/>
              <w:left w:val="nil"/>
              <w:bottom w:val="single" w:sz="4" w:space="0" w:color="auto"/>
              <w:right w:val="single" w:sz="4" w:space="0" w:color="auto"/>
            </w:tcBorders>
            <w:noWrap/>
            <w:vAlign w:val="bottom"/>
            <w:hideMark/>
          </w:tcPr>
          <w:p w14:paraId="18D948D2"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Fair value reserve</w:t>
            </w:r>
          </w:p>
        </w:tc>
        <w:tc>
          <w:tcPr>
            <w:tcW w:w="1915" w:type="dxa"/>
            <w:tcBorders>
              <w:top w:val="nil"/>
              <w:left w:val="nil"/>
              <w:bottom w:val="single" w:sz="4" w:space="0" w:color="auto"/>
              <w:right w:val="single" w:sz="4" w:space="0" w:color="auto"/>
            </w:tcBorders>
            <w:noWrap/>
            <w:vAlign w:val="bottom"/>
            <w:hideMark/>
          </w:tcPr>
          <w:p w14:paraId="62CB4EBE" w14:textId="77777777" w:rsidR="00FC0E27" w:rsidRPr="00DE68A1" w:rsidRDefault="00FC0E27"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0</w:t>
            </w:r>
          </w:p>
        </w:tc>
        <w:tc>
          <w:tcPr>
            <w:tcW w:w="1933" w:type="dxa"/>
            <w:tcBorders>
              <w:top w:val="nil"/>
              <w:left w:val="nil"/>
              <w:bottom w:val="single" w:sz="4" w:space="0" w:color="auto"/>
              <w:right w:val="single" w:sz="8" w:space="0" w:color="auto"/>
            </w:tcBorders>
            <w:noWrap/>
            <w:vAlign w:val="bottom"/>
            <w:hideMark/>
          </w:tcPr>
          <w:p w14:paraId="2C98C08B"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r>
      <w:tr w:rsidR="00FC0E27" w:rsidRPr="00DE68A1" w14:paraId="45F000BB" w14:textId="77777777" w:rsidTr="00FC0E27">
        <w:trPr>
          <w:trHeight w:val="252"/>
        </w:trPr>
        <w:tc>
          <w:tcPr>
            <w:tcW w:w="283" w:type="dxa"/>
            <w:tcBorders>
              <w:top w:val="nil"/>
              <w:left w:val="single" w:sz="8" w:space="0" w:color="auto"/>
              <w:bottom w:val="single" w:sz="4" w:space="0" w:color="auto"/>
              <w:right w:val="single" w:sz="4" w:space="0" w:color="auto"/>
            </w:tcBorders>
            <w:noWrap/>
            <w:vAlign w:val="bottom"/>
            <w:hideMark/>
          </w:tcPr>
          <w:p w14:paraId="7B2A00D7"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4182" w:type="dxa"/>
            <w:tcBorders>
              <w:top w:val="single" w:sz="4" w:space="0" w:color="auto"/>
              <w:left w:val="nil"/>
              <w:bottom w:val="single" w:sz="4" w:space="0" w:color="auto"/>
              <w:right w:val="single" w:sz="4" w:space="0" w:color="auto"/>
            </w:tcBorders>
            <w:noWrap/>
            <w:vAlign w:val="bottom"/>
            <w:hideMark/>
          </w:tcPr>
          <w:p w14:paraId="156F3012"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Retained Earnings</w:t>
            </w:r>
          </w:p>
        </w:tc>
        <w:tc>
          <w:tcPr>
            <w:tcW w:w="1915" w:type="dxa"/>
            <w:tcBorders>
              <w:top w:val="nil"/>
              <w:left w:val="nil"/>
              <w:bottom w:val="single" w:sz="4" w:space="0" w:color="auto"/>
              <w:right w:val="single" w:sz="4" w:space="0" w:color="auto"/>
            </w:tcBorders>
            <w:noWrap/>
            <w:vAlign w:val="bottom"/>
            <w:hideMark/>
          </w:tcPr>
          <w:p w14:paraId="6593CEAB" w14:textId="3DEE81A9" w:rsidR="00FC0E27" w:rsidRPr="00DE68A1" w:rsidRDefault="00CD7649"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125</w:t>
            </w:r>
            <w:r w:rsidR="003047C2">
              <w:rPr>
                <w:rFonts w:asciiTheme="minorHAnsi" w:hAnsiTheme="minorHAnsi" w:cstheme="minorHAnsi"/>
                <w:color w:val="000000"/>
                <w:sz w:val="18"/>
                <w:szCs w:val="18"/>
              </w:rPr>
              <w:t>,</w:t>
            </w:r>
            <w:r w:rsidRPr="00DE68A1">
              <w:rPr>
                <w:rFonts w:asciiTheme="minorHAnsi" w:hAnsiTheme="minorHAnsi" w:cstheme="minorHAnsi"/>
                <w:color w:val="000000"/>
                <w:sz w:val="18"/>
                <w:szCs w:val="18"/>
              </w:rPr>
              <w:t>300</w:t>
            </w:r>
          </w:p>
        </w:tc>
        <w:tc>
          <w:tcPr>
            <w:tcW w:w="1933" w:type="dxa"/>
            <w:tcBorders>
              <w:top w:val="nil"/>
              <w:left w:val="nil"/>
              <w:bottom w:val="single" w:sz="4" w:space="0" w:color="auto"/>
              <w:right w:val="single" w:sz="8" w:space="0" w:color="auto"/>
            </w:tcBorders>
            <w:noWrap/>
            <w:vAlign w:val="bottom"/>
            <w:hideMark/>
          </w:tcPr>
          <w:p w14:paraId="726C75CC" w14:textId="01F100DF" w:rsidR="00FC0E27" w:rsidRPr="00DE68A1" w:rsidRDefault="00CD7649"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335</w:t>
            </w:r>
            <w:r w:rsidR="003047C2">
              <w:rPr>
                <w:rFonts w:asciiTheme="minorHAnsi" w:hAnsiTheme="minorHAnsi" w:cstheme="minorHAnsi"/>
                <w:color w:val="000000"/>
                <w:sz w:val="18"/>
                <w:szCs w:val="18"/>
              </w:rPr>
              <w:t>,</w:t>
            </w:r>
            <w:r w:rsidRPr="00DE68A1">
              <w:rPr>
                <w:rFonts w:asciiTheme="minorHAnsi" w:hAnsiTheme="minorHAnsi" w:cstheme="minorHAnsi"/>
                <w:color w:val="000000"/>
                <w:sz w:val="18"/>
                <w:szCs w:val="18"/>
              </w:rPr>
              <w:t>600</w:t>
            </w:r>
          </w:p>
        </w:tc>
      </w:tr>
      <w:tr w:rsidR="00FC0E27" w:rsidRPr="00DE68A1" w14:paraId="7A94EFB3" w14:textId="77777777" w:rsidTr="00FC0E27">
        <w:trPr>
          <w:trHeight w:val="252"/>
        </w:trPr>
        <w:tc>
          <w:tcPr>
            <w:tcW w:w="8313" w:type="dxa"/>
            <w:gridSpan w:val="4"/>
            <w:tcBorders>
              <w:top w:val="single" w:sz="4" w:space="0" w:color="auto"/>
              <w:left w:val="single" w:sz="8" w:space="0" w:color="auto"/>
              <w:bottom w:val="single" w:sz="4" w:space="0" w:color="auto"/>
              <w:right w:val="single" w:sz="8" w:space="0" w:color="000000"/>
            </w:tcBorders>
            <w:noWrap/>
            <w:vAlign w:val="bottom"/>
            <w:hideMark/>
          </w:tcPr>
          <w:p w14:paraId="2A3CD3C5" w14:textId="77777777" w:rsidR="00FC0E27" w:rsidRPr="00DE68A1" w:rsidRDefault="00FC0E27" w:rsidP="00FC0E2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lastRenderedPageBreak/>
              <w:t> </w:t>
            </w:r>
          </w:p>
        </w:tc>
      </w:tr>
      <w:tr w:rsidR="00FC0E27" w:rsidRPr="00DE68A1" w14:paraId="687F8E10" w14:textId="77777777" w:rsidTr="00FC0E27">
        <w:trPr>
          <w:trHeight w:val="252"/>
        </w:trPr>
        <w:tc>
          <w:tcPr>
            <w:tcW w:w="6380" w:type="dxa"/>
            <w:gridSpan w:val="3"/>
            <w:tcBorders>
              <w:top w:val="single" w:sz="4" w:space="0" w:color="auto"/>
              <w:left w:val="single" w:sz="8" w:space="0" w:color="auto"/>
              <w:bottom w:val="single" w:sz="4" w:space="0" w:color="auto"/>
              <w:right w:val="single" w:sz="4" w:space="0" w:color="auto"/>
            </w:tcBorders>
            <w:noWrap/>
            <w:vAlign w:val="bottom"/>
            <w:hideMark/>
          </w:tcPr>
          <w:p w14:paraId="3EBC9CA4" w14:textId="77777777" w:rsidR="00FC0E27" w:rsidRPr="00DE68A1" w:rsidRDefault="00FC0E27" w:rsidP="00FC0E27">
            <w:pPr>
              <w:bidi w:val="0"/>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 xml:space="preserve">Total Tier - 2 Capital </w:t>
            </w:r>
          </w:p>
        </w:tc>
        <w:tc>
          <w:tcPr>
            <w:tcW w:w="1933" w:type="dxa"/>
            <w:tcBorders>
              <w:top w:val="nil"/>
              <w:left w:val="nil"/>
              <w:bottom w:val="single" w:sz="4" w:space="0" w:color="auto"/>
              <w:right w:val="single" w:sz="8" w:space="0" w:color="auto"/>
            </w:tcBorders>
            <w:noWrap/>
            <w:vAlign w:val="bottom"/>
            <w:hideMark/>
          </w:tcPr>
          <w:p w14:paraId="64D207BB" w14:textId="15BB21A3" w:rsidR="00FC0E27" w:rsidRPr="00DE68A1" w:rsidRDefault="00CD7649" w:rsidP="00FC0E27">
            <w:pPr>
              <w:bidi w:val="0"/>
              <w:jc w:val="right"/>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7</w:t>
            </w:r>
            <w:r w:rsidR="003047C2">
              <w:rPr>
                <w:rFonts w:asciiTheme="minorHAnsi" w:hAnsiTheme="minorHAnsi" w:cstheme="minorHAnsi"/>
                <w:b/>
                <w:bCs/>
                <w:color w:val="000000"/>
                <w:sz w:val="18"/>
                <w:szCs w:val="18"/>
              </w:rPr>
              <w:t>,</w:t>
            </w:r>
            <w:r w:rsidRPr="00DE68A1">
              <w:rPr>
                <w:rFonts w:asciiTheme="minorHAnsi" w:hAnsiTheme="minorHAnsi" w:cstheme="minorHAnsi"/>
                <w:b/>
                <w:bCs/>
                <w:color w:val="000000"/>
                <w:sz w:val="18"/>
                <w:szCs w:val="18"/>
              </w:rPr>
              <w:t>812</w:t>
            </w:r>
          </w:p>
        </w:tc>
      </w:tr>
      <w:tr w:rsidR="00FC0E27" w:rsidRPr="00DE68A1" w14:paraId="5EFA62D6" w14:textId="77777777" w:rsidTr="00FC0E27">
        <w:trPr>
          <w:trHeight w:val="252"/>
        </w:trPr>
        <w:tc>
          <w:tcPr>
            <w:tcW w:w="8313" w:type="dxa"/>
            <w:gridSpan w:val="4"/>
            <w:tcBorders>
              <w:top w:val="single" w:sz="4" w:space="0" w:color="auto"/>
              <w:left w:val="single" w:sz="8" w:space="0" w:color="auto"/>
              <w:bottom w:val="single" w:sz="4" w:space="0" w:color="auto"/>
              <w:right w:val="single" w:sz="8" w:space="0" w:color="000000"/>
            </w:tcBorders>
            <w:noWrap/>
            <w:vAlign w:val="bottom"/>
            <w:hideMark/>
          </w:tcPr>
          <w:p w14:paraId="0079E2B1" w14:textId="77777777" w:rsidR="00FC0E27" w:rsidRPr="00DE68A1" w:rsidRDefault="00FC0E27" w:rsidP="00FC0E2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r>
      <w:tr w:rsidR="00FC0E27" w:rsidRPr="00DE68A1" w14:paraId="3C2C1B75" w14:textId="77777777" w:rsidTr="00FC0E27">
        <w:trPr>
          <w:trHeight w:val="252"/>
        </w:trPr>
        <w:tc>
          <w:tcPr>
            <w:tcW w:w="6380" w:type="dxa"/>
            <w:gridSpan w:val="3"/>
            <w:tcBorders>
              <w:top w:val="single" w:sz="4" w:space="0" w:color="auto"/>
              <w:left w:val="single" w:sz="8" w:space="0" w:color="auto"/>
              <w:bottom w:val="single" w:sz="4" w:space="0" w:color="auto"/>
              <w:right w:val="single" w:sz="4" w:space="0" w:color="auto"/>
            </w:tcBorders>
            <w:noWrap/>
            <w:vAlign w:val="bottom"/>
            <w:hideMark/>
          </w:tcPr>
          <w:p w14:paraId="46AE90F9"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General Provision as allowed</w:t>
            </w:r>
          </w:p>
        </w:tc>
        <w:tc>
          <w:tcPr>
            <w:tcW w:w="1933" w:type="dxa"/>
            <w:tcBorders>
              <w:top w:val="nil"/>
              <w:left w:val="nil"/>
              <w:bottom w:val="single" w:sz="4" w:space="0" w:color="auto"/>
              <w:right w:val="single" w:sz="8" w:space="0" w:color="auto"/>
            </w:tcBorders>
            <w:noWrap/>
            <w:vAlign w:val="bottom"/>
            <w:hideMark/>
          </w:tcPr>
          <w:p w14:paraId="31FC6E9C" w14:textId="47062DA7" w:rsidR="00FC0E27" w:rsidRPr="00DE68A1" w:rsidRDefault="00CD7649"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7</w:t>
            </w:r>
            <w:r w:rsidR="003047C2">
              <w:rPr>
                <w:rFonts w:asciiTheme="minorHAnsi" w:hAnsiTheme="minorHAnsi" w:cstheme="minorHAnsi"/>
                <w:color w:val="000000"/>
                <w:sz w:val="18"/>
                <w:szCs w:val="18"/>
              </w:rPr>
              <w:t>,</w:t>
            </w:r>
            <w:r w:rsidRPr="00DE68A1">
              <w:rPr>
                <w:rFonts w:asciiTheme="minorHAnsi" w:hAnsiTheme="minorHAnsi" w:cstheme="minorHAnsi"/>
                <w:color w:val="000000"/>
                <w:sz w:val="18"/>
                <w:szCs w:val="18"/>
              </w:rPr>
              <w:t>812</w:t>
            </w:r>
          </w:p>
        </w:tc>
      </w:tr>
      <w:tr w:rsidR="00FC0E27" w:rsidRPr="00DE68A1" w14:paraId="69CA1F73" w14:textId="77777777" w:rsidTr="00FC0E27">
        <w:trPr>
          <w:trHeight w:val="252"/>
        </w:trPr>
        <w:tc>
          <w:tcPr>
            <w:tcW w:w="8313" w:type="dxa"/>
            <w:gridSpan w:val="4"/>
            <w:tcBorders>
              <w:top w:val="single" w:sz="4" w:space="0" w:color="auto"/>
              <w:left w:val="single" w:sz="8" w:space="0" w:color="auto"/>
              <w:bottom w:val="single" w:sz="4" w:space="0" w:color="auto"/>
              <w:right w:val="single" w:sz="8" w:space="0" w:color="000000"/>
            </w:tcBorders>
            <w:noWrap/>
            <w:vAlign w:val="bottom"/>
            <w:hideMark/>
          </w:tcPr>
          <w:p w14:paraId="0326279B" w14:textId="77777777" w:rsidR="00FC0E27" w:rsidRPr="00DE68A1" w:rsidRDefault="00FC0E27" w:rsidP="00FC0E2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r>
      <w:tr w:rsidR="00FC0E27" w:rsidRPr="00DE68A1" w14:paraId="4D2219DE" w14:textId="77777777" w:rsidTr="00FC0E27">
        <w:trPr>
          <w:trHeight w:val="252"/>
        </w:trPr>
        <w:tc>
          <w:tcPr>
            <w:tcW w:w="6380" w:type="dxa"/>
            <w:gridSpan w:val="3"/>
            <w:tcBorders>
              <w:top w:val="single" w:sz="4" w:space="0" w:color="auto"/>
              <w:left w:val="single" w:sz="8" w:space="0" w:color="auto"/>
              <w:bottom w:val="single" w:sz="8" w:space="0" w:color="auto"/>
              <w:right w:val="single" w:sz="4" w:space="0" w:color="auto"/>
            </w:tcBorders>
            <w:noWrap/>
            <w:vAlign w:val="bottom"/>
            <w:hideMark/>
          </w:tcPr>
          <w:p w14:paraId="0A257D30" w14:textId="77777777" w:rsidR="00FC0E27" w:rsidRPr="00DE68A1" w:rsidRDefault="00FC0E27" w:rsidP="00FC0E27">
            <w:pPr>
              <w:bidi w:val="0"/>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Total eligible capital after deductions</w:t>
            </w:r>
          </w:p>
        </w:tc>
        <w:tc>
          <w:tcPr>
            <w:tcW w:w="1933" w:type="dxa"/>
            <w:tcBorders>
              <w:top w:val="nil"/>
              <w:left w:val="nil"/>
              <w:bottom w:val="single" w:sz="8" w:space="0" w:color="auto"/>
              <w:right w:val="single" w:sz="8" w:space="0" w:color="auto"/>
            </w:tcBorders>
            <w:noWrap/>
            <w:vAlign w:val="bottom"/>
            <w:hideMark/>
          </w:tcPr>
          <w:p w14:paraId="5B404EF6" w14:textId="53123C6E" w:rsidR="00FC0E27" w:rsidRPr="00DE68A1" w:rsidRDefault="0028083E" w:rsidP="00FC0E27">
            <w:pPr>
              <w:bidi w:val="0"/>
              <w:jc w:val="right"/>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363</w:t>
            </w:r>
            <w:r w:rsidR="003047C2">
              <w:rPr>
                <w:rFonts w:asciiTheme="minorHAnsi" w:hAnsiTheme="minorHAnsi" w:cstheme="minorHAnsi"/>
                <w:b/>
                <w:bCs/>
                <w:color w:val="000000"/>
                <w:sz w:val="18"/>
                <w:szCs w:val="18"/>
              </w:rPr>
              <w:t>,</w:t>
            </w:r>
            <w:r w:rsidRPr="00DE68A1">
              <w:rPr>
                <w:rFonts w:asciiTheme="minorHAnsi" w:hAnsiTheme="minorHAnsi" w:cstheme="minorHAnsi"/>
                <w:b/>
                <w:bCs/>
                <w:color w:val="000000"/>
                <w:sz w:val="18"/>
                <w:szCs w:val="18"/>
              </w:rPr>
              <w:t>412</w:t>
            </w:r>
          </w:p>
        </w:tc>
      </w:tr>
    </w:tbl>
    <w:p w14:paraId="153486A0" w14:textId="3C17C8E2" w:rsidR="00E8468D" w:rsidRPr="00DE68A1" w:rsidRDefault="00E8468D" w:rsidP="00E8468D">
      <w:pPr>
        <w:bidi w:val="0"/>
        <w:rPr>
          <w:b/>
          <w:bCs/>
        </w:rPr>
      </w:pPr>
    </w:p>
    <w:p w14:paraId="33AD8DC2" w14:textId="77777777" w:rsidR="005B5F02" w:rsidRPr="00DE68A1" w:rsidRDefault="005B5F02" w:rsidP="005B5F02">
      <w:pPr>
        <w:bidi w:val="0"/>
        <w:rPr>
          <w:b/>
          <w:bCs/>
        </w:rPr>
      </w:pPr>
    </w:p>
    <w:tbl>
      <w:tblPr>
        <w:tblW w:w="8363" w:type="dxa"/>
        <w:tblInd w:w="416" w:type="dxa"/>
        <w:tblLook w:val="04A0" w:firstRow="1" w:lastRow="0" w:firstColumn="1" w:lastColumn="0" w:noHBand="0" w:noVBand="1"/>
      </w:tblPr>
      <w:tblGrid>
        <w:gridCol w:w="708"/>
        <w:gridCol w:w="3686"/>
        <w:gridCol w:w="1984"/>
        <w:gridCol w:w="1985"/>
      </w:tblGrid>
      <w:tr w:rsidR="00FC0E27" w:rsidRPr="00DE68A1" w14:paraId="2B9F623D" w14:textId="77777777" w:rsidTr="00E63223">
        <w:trPr>
          <w:trHeight w:val="358"/>
        </w:trPr>
        <w:tc>
          <w:tcPr>
            <w:tcW w:w="8363" w:type="dxa"/>
            <w:gridSpan w:val="4"/>
            <w:tcBorders>
              <w:top w:val="single" w:sz="8" w:space="0" w:color="auto"/>
              <w:left w:val="single" w:sz="8" w:space="0" w:color="auto"/>
              <w:bottom w:val="single" w:sz="8" w:space="0" w:color="auto"/>
              <w:right w:val="single" w:sz="8" w:space="0" w:color="000000"/>
            </w:tcBorders>
            <w:noWrap/>
            <w:vAlign w:val="center"/>
            <w:hideMark/>
          </w:tcPr>
          <w:p w14:paraId="39090F5E" w14:textId="25F9D0C9" w:rsidR="00FC0E27" w:rsidRPr="00DE68A1" w:rsidRDefault="00FC0E27" w:rsidP="00E63223">
            <w:pPr>
              <w:bidi w:val="0"/>
              <w:jc w:val="center"/>
              <w:rPr>
                <w:rFonts w:asciiTheme="minorHAnsi" w:hAnsiTheme="minorHAnsi" w:cstheme="minorHAnsi"/>
                <w:b/>
                <w:bCs/>
                <w:color w:val="000000"/>
                <w:sz w:val="18"/>
                <w:szCs w:val="18"/>
              </w:rPr>
            </w:pPr>
            <w:bookmarkStart w:id="2" w:name="RANGE!B1:E40"/>
            <w:r w:rsidRPr="00DE68A1">
              <w:rPr>
                <w:rFonts w:asciiTheme="minorHAnsi" w:hAnsiTheme="minorHAnsi" w:cstheme="minorHAnsi"/>
                <w:b/>
                <w:bCs/>
                <w:color w:val="000000"/>
                <w:sz w:val="18"/>
                <w:szCs w:val="18"/>
              </w:rPr>
              <w:t>Capital Structure Disclosure - 31.12.202</w:t>
            </w:r>
            <w:r w:rsidR="00072896" w:rsidRPr="00DE68A1">
              <w:rPr>
                <w:rFonts w:asciiTheme="minorHAnsi" w:hAnsiTheme="minorHAnsi" w:cstheme="minorHAnsi"/>
                <w:b/>
                <w:bCs/>
                <w:color w:val="000000"/>
                <w:sz w:val="18"/>
                <w:szCs w:val="18"/>
              </w:rPr>
              <w:t>5</w:t>
            </w:r>
            <w:r w:rsidRPr="00DE68A1">
              <w:rPr>
                <w:rFonts w:asciiTheme="minorHAnsi" w:hAnsiTheme="minorHAnsi" w:cstheme="minorHAnsi"/>
                <w:b/>
                <w:bCs/>
                <w:color w:val="000000"/>
                <w:sz w:val="18"/>
                <w:szCs w:val="18"/>
              </w:rPr>
              <w:t xml:space="preserve"> (Sheet 2)</w:t>
            </w:r>
            <w:bookmarkEnd w:id="2"/>
          </w:p>
        </w:tc>
      </w:tr>
      <w:tr w:rsidR="00FC0E27" w:rsidRPr="00DE68A1" w14:paraId="072BB085"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1C8896E1"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7655" w:type="dxa"/>
            <w:gridSpan w:val="3"/>
            <w:tcBorders>
              <w:top w:val="single" w:sz="8" w:space="0" w:color="auto"/>
              <w:left w:val="nil"/>
              <w:bottom w:val="single" w:sz="4" w:space="0" w:color="auto"/>
              <w:right w:val="single" w:sz="8" w:space="0" w:color="000000"/>
            </w:tcBorders>
            <w:noWrap/>
            <w:vAlign w:val="bottom"/>
            <w:hideMark/>
          </w:tcPr>
          <w:p w14:paraId="3F10EB9D" w14:textId="77777777" w:rsidR="00FC0E27" w:rsidRPr="00DE68A1" w:rsidRDefault="00FC0E27" w:rsidP="00FC0E2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(All Values in KD '000)</w:t>
            </w:r>
          </w:p>
        </w:tc>
      </w:tr>
      <w:tr w:rsidR="00FC0E27" w:rsidRPr="00DE68A1" w14:paraId="7224636D" w14:textId="77777777" w:rsidTr="00E63223">
        <w:trPr>
          <w:trHeight w:val="551"/>
        </w:trPr>
        <w:tc>
          <w:tcPr>
            <w:tcW w:w="708" w:type="dxa"/>
            <w:tcBorders>
              <w:top w:val="nil"/>
              <w:left w:val="single" w:sz="8" w:space="0" w:color="auto"/>
              <w:bottom w:val="single" w:sz="4" w:space="0" w:color="auto"/>
              <w:right w:val="single" w:sz="4" w:space="0" w:color="auto"/>
            </w:tcBorders>
            <w:noWrap/>
            <w:vAlign w:val="center"/>
            <w:hideMark/>
          </w:tcPr>
          <w:p w14:paraId="321F808F" w14:textId="77777777" w:rsidR="00FC0E27" w:rsidRPr="00DE68A1" w:rsidRDefault="00FC0E27" w:rsidP="00E63223">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Sr No</w:t>
            </w:r>
          </w:p>
        </w:tc>
        <w:tc>
          <w:tcPr>
            <w:tcW w:w="3686" w:type="dxa"/>
            <w:tcBorders>
              <w:top w:val="nil"/>
              <w:left w:val="nil"/>
              <w:bottom w:val="single" w:sz="4" w:space="0" w:color="auto"/>
              <w:right w:val="single" w:sz="4" w:space="0" w:color="auto"/>
            </w:tcBorders>
            <w:noWrap/>
            <w:vAlign w:val="center"/>
            <w:hideMark/>
          </w:tcPr>
          <w:p w14:paraId="7D93C829" w14:textId="77777777" w:rsidR="00FC0E27" w:rsidRPr="00DE68A1" w:rsidRDefault="00FC0E27" w:rsidP="00E63223">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Asset Categories</w:t>
            </w:r>
          </w:p>
        </w:tc>
        <w:tc>
          <w:tcPr>
            <w:tcW w:w="1984" w:type="dxa"/>
            <w:tcBorders>
              <w:top w:val="nil"/>
              <w:left w:val="nil"/>
              <w:bottom w:val="single" w:sz="4" w:space="0" w:color="auto"/>
              <w:right w:val="single" w:sz="4" w:space="0" w:color="auto"/>
            </w:tcBorders>
            <w:vAlign w:val="center"/>
            <w:hideMark/>
          </w:tcPr>
          <w:p w14:paraId="2972C169" w14:textId="0A7A9561" w:rsidR="00FC0E27" w:rsidRPr="00DE68A1" w:rsidRDefault="00FC0E27" w:rsidP="00E63223">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Net Credit Risk Exposure (After CRM)</w:t>
            </w:r>
          </w:p>
        </w:tc>
        <w:tc>
          <w:tcPr>
            <w:tcW w:w="1985" w:type="dxa"/>
            <w:tcBorders>
              <w:top w:val="nil"/>
              <w:left w:val="nil"/>
              <w:bottom w:val="single" w:sz="4" w:space="0" w:color="auto"/>
              <w:right w:val="single" w:sz="8" w:space="0" w:color="auto"/>
            </w:tcBorders>
            <w:vAlign w:val="center"/>
            <w:hideMark/>
          </w:tcPr>
          <w:p w14:paraId="32729E01" w14:textId="77777777" w:rsidR="00FC0E27" w:rsidRPr="00DE68A1" w:rsidRDefault="00FC0E27" w:rsidP="00E63223">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After CRM Risk Weighted Assets</w:t>
            </w:r>
          </w:p>
        </w:tc>
      </w:tr>
      <w:tr w:rsidR="0028083E" w:rsidRPr="00DE68A1" w14:paraId="6A3FD1B3"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79074F58" w14:textId="77777777" w:rsidR="0028083E" w:rsidRPr="00DE68A1" w:rsidRDefault="0028083E" w:rsidP="0028083E">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1</w:t>
            </w:r>
          </w:p>
        </w:tc>
        <w:tc>
          <w:tcPr>
            <w:tcW w:w="3686" w:type="dxa"/>
            <w:tcBorders>
              <w:top w:val="nil"/>
              <w:left w:val="nil"/>
              <w:bottom w:val="single" w:sz="4" w:space="0" w:color="auto"/>
              <w:right w:val="single" w:sz="4" w:space="0" w:color="auto"/>
            </w:tcBorders>
            <w:noWrap/>
            <w:vAlign w:val="bottom"/>
            <w:hideMark/>
          </w:tcPr>
          <w:p w14:paraId="287BE1D3" w14:textId="77777777" w:rsidR="0028083E" w:rsidRPr="00DE68A1" w:rsidRDefault="0028083E" w:rsidP="0028083E">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Cash Items</w:t>
            </w:r>
          </w:p>
        </w:tc>
        <w:tc>
          <w:tcPr>
            <w:tcW w:w="1984" w:type="dxa"/>
            <w:tcBorders>
              <w:top w:val="nil"/>
              <w:left w:val="nil"/>
              <w:bottom w:val="single" w:sz="4" w:space="0" w:color="auto"/>
              <w:right w:val="single" w:sz="4" w:space="0" w:color="auto"/>
            </w:tcBorders>
            <w:noWrap/>
            <w:vAlign w:val="bottom"/>
            <w:hideMark/>
          </w:tcPr>
          <w:p w14:paraId="3393230F" w14:textId="14CBCB98"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403</w:t>
            </w:r>
          </w:p>
        </w:tc>
        <w:tc>
          <w:tcPr>
            <w:tcW w:w="1985" w:type="dxa"/>
            <w:tcBorders>
              <w:top w:val="nil"/>
              <w:left w:val="nil"/>
              <w:bottom w:val="single" w:sz="4" w:space="0" w:color="auto"/>
              <w:right w:val="single" w:sz="8" w:space="0" w:color="auto"/>
            </w:tcBorders>
            <w:noWrap/>
            <w:vAlign w:val="bottom"/>
            <w:hideMark/>
          </w:tcPr>
          <w:p w14:paraId="2EB4D443" w14:textId="694E381E"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0</w:t>
            </w:r>
          </w:p>
        </w:tc>
      </w:tr>
      <w:tr w:rsidR="0028083E" w:rsidRPr="00DE68A1" w14:paraId="4E7547BC"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2D5CA52F" w14:textId="77777777" w:rsidR="0028083E" w:rsidRPr="00DE68A1" w:rsidRDefault="0028083E" w:rsidP="0028083E">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2</w:t>
            </w:r>
          </w:p>
        </w:tc>
        <w:tc>
          <w:tcPr>
            <w:tcW w:w="3686" w:type="dxa"/>
            <w:tcBorders>
              <w:top w:val="nil"/>
              <w:left w:val="nil"/>
              <w:bottom w:val="single" w:sz="4" w:space="0" w:color="auto"/>
              <w:right w:val="single" w:sz="4" w:space="0" w:color="auto"/>
            </w:tcBorders>
            <w:noWrap/>
            <w:vAlign w:val="bottom"/>
            <w:hideMark/>
          </w:tcPr>
          <w:p w14:paraId="5639B7CB" w14:textId="77777777" w:rsidR="0028083E" w:rsidRPr="00DE68A1" w:rsidRDefault="0028083E" w:rsidP="0028083E">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Claims on Sovereigns</w:t>
            </w:r>
          </w:p>
        </w:tc>
        <w:tc>
          <w:tcPr>
            <w:tcW w:w="1984" w:type="dxa"/>
            <w:tcBorders>
              <w:top w:val="nil"/>
              <w:left w:val="nil"/>
              <w:bottom w:val="single" w:sz="4" w:space="0" w:color="auto"/>
              <w:right w:val="single" w:sz="4" w:space="0" w:color="auto"/>
            </w:tcBorders>
            <w:noWrap/>
            <w:vAlign w:val="bottom"/>
            <w:hideMark/>
          </w:tcPr>
          <w:p w14:paraId="7F4CB7AA" w14:textId="7DA51CDA"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77</w:t>
            </w:r>
            <w:r w:rsidR="003047C2" w:rsidRPr="003047C2">
              <w:rPr>
                <w:rFonts w:asciiTheme="minorHAnsi" w:hAnsiTheme="minorHAnsi" w:cstheme="minorHAnsi"/>
                <w:color w:val="000000"/>
                <w:sz w:val="18"/>
                <w:szCs w:val="18"/>
              </w:rPr>
              <w:t>,</w:t>
            </w:r>
            <w:r w:rsidRPr="003047C2">
              <w:rPr>
                <w:rFonts w:asciiTheme="minorHAnsi" w:hAnsiTheme="minorHAnsi" w:cstheme="minorHAnsi"/>
                <w:color w:val="000000"/>
                <w:sz w:val="18"/>
                <w:szCs w:val="18"/>
              </w:rPr>
              <w:t>624</w:t>
            </w:r>
          </w:p>
        </w:tc>
        <w:tc>
          <w:tcPr>
            <w:tcW w:w="1985" w:type="dxa"/>
            <w:tcBorders>
              <w:top w:val="nil"/>
              <w:left w:val="nil"/>
              <w:bottom w:val="single" w:sz="4" w:space="0" w:color="auto"/>
              <w:right w:val="single" w:sz="8" w:space="0" w:color="auto"/>
            </w:tcBorders>
            <w:noWrap/>
            <w:vAlign w:val="bottom"/>
            <w:hideMark/>
          </w:tcPr>
          <w:p w14:paraId="3D2EFB8E" w14:textId="3EDF93EE"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0</w:t>
            </w:r>
          </w:p>
        </w:tc>
      </w:tr>
      <w:tr w:rsidR="0028083E" w:rsidRPr="00DE68A1" w14:paraId="2FC724D8"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044DC646" w14:textId="77777777" w:rsidR="0028083E" w:rsidRPr="00DE68A1" w:rsidRDefault="0028083E" w:rsidP="0028083E">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3</w:t>
            </w:r>
          </w:p>
        </w:tc>
        <w:tc>
          <w:tcPr>
            <w:tcW w:w="3686" w:type="dxa"/>
            <w:tcBorders>
              <w:top w:val="nil"/>
              <w:left w:val="nil"/>
              <w:bottom w:val="single" w:sz="4" w:space="0" w:color="auto"/>
              <w:right w:val="single" w:sz="4" w:space="0" w:color="auto"/>
            </w:tcBorders>
            <w:noWrap/>
            <w:vAlign w:val="bottom"/>
            <w:hideMark/>
          </w:tcPr>
          <w:p w14:paraId="36BC3024" w14:textId="77777777" w:rsidR="0028083E" w:rsidRPr="00DE68A1" w:rsidRDefault="0028083E" w:rsidP="0028083E">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Claims on International </w:t>
            </w:r>
            <w:proofErr w:type="spellStart"/>
            <w:r w:rsidRPr="00DE68A1">
              <w:rPr>
                <w:rFonts w:asciiTheme="minorHAnsi" w:hAnsiTheme="minorHAnsi" w:cstheme="minorHAnsi"/>
                <w:color w:val="000000"/>
                <w:sz w:val="18"/>
                <w:szCs w:val="18"/>
              </w:rPr>
              <w:t>Orgns</w:t>
            </w:r>
            <w:proofErr w:type="spellEnd"/>
          </w:p>
        </w:tc>
        <w:tc>
          <w:tcPr>
            <w:tcW w:w="1984" w:type="dxa"/>
            <w:tcBorders>
              <w:top w:val="nil"/>
              <w:left w:val="nil"/>
              <w:bottom w:val="single" w:sz="4" w:space="0" w:color="auto"/>
              <w:right w:val="single" w:sz="4" w:space="0" w:color="auto"/>
            </w:tcBorders>
            <w:noWrap/>
            <w:vAlign w:val="bottom"/>
            <w:hideMark/>
          </w:tcPr>
          <w:p w14:paraId="6C8F9E35" w14:textId="223AD7D2"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0</w:t>
            </w:r>
          </w:p>
        </w:tc>
        <w:tc>
          <w:tcPr>
            <w:tcW w:w="1985" w:type="dxa"/>
            <w:tcBorders>
              <w:top w:val="nil"/>
              <w:left w:val="nil"/>
              <w:bottom w:val="single" w:sz="4" w:space="0" w:color="auto"/>
              <w:right w:val="single" w:sz="8" w:space="0" w:color="auto"/>
            </w:tcBorders>
            <w:noWrap/>
            <w:vAlign w:val="bottom"/>
            <w:hideMark/>
          </w:tcPr>
          <w:p w14:paraId="5CB53BE2" w14:textId="46765C45"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 </w:t>
            </w:r>
          </w:p>
        </w:tc>
      </w:tr>
      <w:tr w:rsidR="0028083E" w:rsidRPr="00DE68A1" w14:paraId="16F2ACBE"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05DD40D9" w14:textId="77777777" w:rsidR="0028083E" w:rsidRPr="00DE68A1" w:rsidRDefault="0028083E" w:rsidP="0028083E">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4</w:t>
            </w:r>
          </w:p>
        </w:tc>
        <w:tc>
          <w:tcPr>
            <w:tcW w:w="3686" w:type="dxa"/>
            <w:tcBorders>
              <w:top w:val="nil"/>
              <w:left w:val="nil"/>
              <w:bottom w:val="single" w:sz="4" w:space="0" w:color="auto"/>
              <w:right w:val="single" w:sz="4" w:space="0" w:color="auto"/>
            </w:tcBorders>
            <w:noWrap/>
            <w:vAlign w:val="bottom"/>
            <w:hideMark/>
          </w:tcPr>
          <w:p w14:paraId="140D7829" w14:textId="77777777" w:rsidR="0028083E" w:rsidRPr="00DE68A1" w:rsidRDefault="0028083E" w:rsidP="0028083E">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Claims on PSE</w:t>
            </w:r>
          </w:p>
        </w:tc>
        <w:tc>
          <w:tcPr>
            <w:tcW w:w="1984" w:type="dxa"/>
            <w:tcBorders>
              <w:top w:val="nil"/>
              <w:left w:val="nil"/>
              <w:bottom w:val="single" w:sz="4" w:space="0" w:color="auto"/>
              <w:right w:val="single" w:sz="4" w:space="0" w:color="auto"/>
            </w:tcBorders>
            <w:noWrap/>
            <w:vAlign w:val="bottom"/>
            <w:hideMark/>
          </w:tcPr>
          <w:p w14:paraId="63C780A1" w14:textId="45BE99C2"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0</w:t>
            </w:r>
          </w:p>
        </w:tc>
        <w:tc>
          <w:tcPr>
            <w:tcW w:w="1985" w:type="dxa"/>
            <w:tcBorders>
              <w:top w:val="nil"/>
              <w:left w:val="nil"/>
              <w:bottom w:val="single" w:sz="4" w:space="0" w:color="auto"/>
              <w:right w:val="single" w:sz="8" w:space="0" w:color="auto"/>
            </w:tcBorders>
            <w:noWrap/>
            <w:vAlign w:val="bottom"/>
            <w:hideMark/>
          </w:tcPr>
          <w:p w14:paraId="779E821E" w14:textId="3C1D8763"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 </w:t>
            </w:r>
          </w:p>
        </w:tc>
      </w:tr>
      <w:tr w:rsidR="0028083E" w:rsidRPr="00DE68A1" w14:paraId="0591CD2F"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76D9A19A" w14:textId="77777777" w:rsidR="0028083E" w:rsidRPr="00DE68A1" w:rsidRDefault="0028083E" w:rsidP="0028083E">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5</w:t>
            </w:r>
          </w:p>
        </w:tc>
        <w:tc>
          <w:tcPr>
            <w:tcW w:w="3686" w:type="dxa"/>
            <w:tcBorders>
              <w:top w:val="nil"/>
              <w:left w:val="nil"/>
              <w:bottom w:val="single" w:sz="4" w:space="0" w:color="auto"/>
              <w:right w:val="single" w:sz="4" w:space="0" w:color="auto"/>
            </w:tcBorders>
            <w:noWrap/>
            <w:vAlign w:val="bottom"/>
            <w:hideMark/>
          </w:tcPr>
          <w:p w14:paraId="16199413" w14:textId="77777777" w:rsidR="0028083E" w:rsidRPr="00DE68A1" w:rsidRDefault="0028083E" w:rsidP="0028083E">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Claims on MDB</w:t>
            </w:r>
          </w:p>
        </w:tc>
        <w:tc>
          <w:tcPr>
            <w:tcW w:w="1984" w:type="dxa"/>
            <w:tcBorders>
              <w:top w:val="nil"/>
              <w:left w:val="nil"/>
              <w:bottom w:val="single" w:sz="4" w:space="0" w:color="auto"/>
              <w:right w:val="single" w:sz="4" w:space="0" w:color="auto"/>
            </w:tcBorders>
            <w:noWrap/>
            <w:vAlign w:val="bottom"/>
            <w:hideMark/>
          </w:tcPr>
          <w:p w14:paraId="6E524B95" w14:textId="53DFA79F"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0</w:t>
            </w:r>
          </w:p>
        </w:tc>
        <w:tc>
          <w:tcPr>
            <w:tcW w:w="1985" w:type="dxa"/>
            <w:tcBorders>
              <w:top w:val="nil"/>
              <w:left w:val="nil"/>
              <w:bottom w:val="single" w:sz="4" w:space="0" w:color="auto"/>
              <w:right w:val="single" w:sz="8" w:space="0" w:color="auto"/>
            </w:tcBorders>
            <w:noWrap/>
            <w:vAlign w:val="bottom"/>
            <w:hideMark/>
          </w:tcPr>
          <w:p w14:paraId="662A732F" w14:textId="462E639D"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 </w:t>
            </w:r>
          </w:p>
        </w:tc>
      </w:tr>
      <w:tr w:rsidR="0028083E" w:rsidRPr="00DE68A1" w14:paraId="53DFFF19"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45794842" w14:textId="77777777" w:rsidR="0028083E" w:rsidRPr="00DE68A1" w:rsidRDefault="0028083E" w:rsidP="0028083E">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6</w:t>
            </w:r>
          </w:p>
        </w:tc>
        <w:tc>
          <w:tcPr>
            <w:tcW w:w="3686" w:type="dxa"/>
            <w:tcBorders>
              <w:top w:val="nil"/>
              <w:left w:val="nil"/>
              <w:bottom w:val="single" w:sz="4" w:space="0" w:color="auto"/>
              <w:right w:val="single" w:sz="4" w:space="0" w:color="auto"/>
            </w:tcBorders>
            <w:noWrap/>
            <w:vAlign w:val="bottom"/>
            <w:hideMark/>
          </w:tcPr>
          <w:p w14:paraId="58D5F10E" w14:textId="77777777" w:rsidR="0028083E" w:rsidRPr="00DE68A1" w:rsidRDefault="0028083E" w:rsidP="0028083E">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Claims on Banks</w:t>
            </w:r>
          </w:p>
        </w:tc>
        <w:tc>
          <w:tcPr>
            <w:tcW w:w="1984" w:type="dxa"/>
            <w:tcBorders>
              <w:top w:val="nil"/>
              <w:left w:val="nil"/>
              <w:bottom w:val="single" w:sz="4" w:space="0" w:color="auto"/>
              <w:right w:val="single" w:sz="4" w:space="0" w:color="auto"/>
            </w:tcBorders>
            <w:noWrap/>
            <w:vAlign w:val="bottom"/>
            <w:hideMark/>
          </w:tcPr>
          <w:p w14:paraId="228D8133" w14:textId="4250CFAE"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307</w:t>
            </w:r>
            <w:r w:rsidR="003047C2" w:rsidRPr="003047C2">
              <w:rPr>
                <w:rFonts w:asciiTheme="minorHAnsi" w:hAnsiTheme="minorHAnsi" w:cstheme="minorHAnsi"/>
                <w:color w:val="000000"/>
                <w:sz w:val="18"/>
                <w:szCs w:val="18"/>
              </w:rPr>
              <w:t>,</w:t>
            </w:r>
            <w:r w:rsidRPr="003047C2">
              <w:rPr>
                <w:rFonts w:asciiTheme="minorHAnsi" w:hAnsiTheme="minorHAnsi" w:cstheme="minorHAnsi"/>
                <w:color w:val="000000"/>
                <w:sz w:val="18"/>
                <w:szCs w:val="18"/>
              </w:rPr>
              <w:t>074</w:t>
            </w:r>
          </w:p>
        </w:tc>
        <w:tc>
          <w:tcPr>
            <w:tcW w:w="1985" w:type="dxa"/>
            <w:tcBorders>
              <w:top w:val="nil"/>
              <w:left w:val="nil"/>
              <w:bottom w:val="single" w:sz="4" w:space="0" w:color="auto"/>
              <w:right w:val="single" w:sz="8" w:space="0" w:color="auto"/>
            </w:tcBorders>
            <w:noWrap/>
            <w:vAlign w:val="bottom"/>
            <w:hideMark/>
          </w:tcPr>
          <w:p w14:paraId="29A25693" w14:textId="313C230C"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61</w:t>
            </w:r>
            <w:r w:rsidR="003047C2" w:rsidRPr="003047C2">
              <w:rPr>
                <w:rFonts w:asciiTheme="minorHAnsi" w:hAnsiTheme="minorHAnsi" w:cstheme="minorHAnsi"/>
                <w:color w:val="000000"/>
                <w:sz w:val="18"/>
                <w:szCs w:val="18"/>
              </w:rPr>
              <w:t>,</w:t>
            </w:r>
            <w:r w:rsidRPr="003047C2">
              <w:rPr>
                <w:rFonts w:asciiTheme="minorHAnsi" w:hAnsiTheme="minorHAnsi" w:cstheme="minorHAnsi"/>
                <w:color w:val="000000"/>
                <w:sz w:val="18"/>
                <w:szCs w:val="18"/>
              </w:rPr>
              <w:t>448</w:t>
            </w:r>
          </w:p>
        </w:tc>
      </w:tr>
      <w:tr w:rsidR="0028083E" w:rsidRPr="00DE68A1" w14:paraId="41904A8A"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534A36AD" w14:textId="77777777" w:rsidR="0028083E" w:rsidRPr="00DE68A1" w:rsidRDefault="0028083E" w:rsidP="0028083E">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7</w:t>
            </w:r>
          </w:p>
        </w:tc>
        <w:tc>
          <w:tcPr>
            <w:tcW w:w="3686" w:type="dxa"/>
            <w:tcBorders>
              <w:top w:val="nil"/>
              <w:left w:val="nil"/>
              <w:bottom w:val="single" w:sz="4" w:space="0" w:color="auto"/>
              <w:right w:val="single" w:sz="4" w:space="0" w:color="auto"/>
            </w:tcBorders>
            <w:noWrap/>
            <w:vAlign w:val="bottom"/>
            <w:hideMark/>
          </w:tcPr>
          <w:p w14:paraId="61206775" w14:textId="77777777" w:rsidR="0028083E" w:rsidRPr="00DE68A1" w:rsidRDefault="0028083E" w:rsidP="0028083E">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Claims on Corporates</w:t>
            </w:r>
          </w:p>
        </w:tc>
        <w:tc>
          <w:tcPr>
            <w:tcW w:w="1984" w:type="dxa"/>
            <w:tcBorders>
              <w:top w:val="nil"/>
              <w:left w:val="nil"/>
              <w:bottom w:val="single" w:sz="4" w:space="0" w:color="auto"/>
              <w:right w:val="single" w:sz="4" w:space="0" w:color="auto"/>
            </w:tcBorders>
            <w:noWrap/>
            <w:vAlign w:val="bottom"/>
            <w:hideMark/>
          </w:tcPr>
          <w:p w14:paraId="332DE0D3" w14:textId="4766DBB5"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372</w:t>
            </w:r>
            <w:r w:rsidR="003047C2" w:rsidRPr="003047C2">
              <w:rPr>
                <w:rFonts w:asciiTheme="minorHAnsi" w:hAnsiTheme="minorHAnsi" w:cstheme="minorHAnsi"/>
                <w:color w:val="000000"/>
                <w:sz w:val="18"/>
                <w:szCs w:val="18"/>
              </w:rPr>
              <w:t>,</w:t>
            </w:r>
            <w:r w:rsidRPr="003047C2">
              <w:rPr>
                <w:rFonts w:asciiTheme="minorHAnsi" w:hAnsiTheme="minorHAnsi" w:cstheme="minorHAnsi"/>
                <w:color w:val="000000"/>
                <w:sz w:val="18"/>
                <w:szCs w:val="18"/>
              </w:rPr>
              <w:t>581</w:t>
            </w:r>
          </w:p>
        </w:tc>
        <w:tc>
          <w:tcPr>
            <w:tcW w:w="1985" w:type="dxa"/>
            <w:tcBorders>
              <w:top w:val="nil"/>
              <w:left w:val="nil"/>
              <w:bottom w:val="single" w:sz="4" w:space="0" w:color="auto"/>
              <w:right w:val="single" w:sz="8" w:space="0" w:color="auto"/>
            </w:tcBorders>
            <w:noWrap/>
            <w:vAlign w:val="bottom"/>
            <w:hideMark/>
          </w:tcPr>
          <w:p w14:paraId="0216D905" w14:textId="6B195F38"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372</w:t>
            </w:r>
            <w:r w:rsidR="003047C2" w:rsidRPr="003047C2">
              <w:rPr>
                <w:rFonts w:asciiTheme="minorHAnsi" w:hAnsiTheme="minorHAnsi" w:cstheme="minorHAnsi"/>
                <w:color w:val="000000"/>
                <w:sz w:val="18"/>
                <w:szCs w:val="18"/>
              </w:rPr>
              <w:t>,</w:t>
            </w:r>
            <w:r w:rsidRPr="003047C2">
              <w:rPr>
                <w:rFonts w:asciiTheme="minorHAnsi" w:hAnsiTheme="minorHAnsi" w:cstheme="minorHAnsi"/>
                <w:color w:val="000000"/>
                <w:sz w:val="18"/>
                <w:szCs w:val="18"/>
              </w:rPr>
              <w:t>347</w:t>
            </w:r>
          </w:p>
        </w:tc>
      </w:tr>
      <w:tr w:rsidR="0028083E" w:rsidRPr="00DE68A1" w14:paraId="237FFBE2"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5788730A" w14:textId="77777777" w:rsidR="0028083E" w:rsidRPr="00DE68A1" w:rsidRDefault="0028083E" w:rsidP="0028083E">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8</w:t>
            </w:r>
          </w:p>
        </w:tc>
        <w:tc>
          <w:tcPr>
            <w:tcW w:w="3686" w:type="dxa"/>
            <w:tcBorders>
              <w:top w:val="nil"/>
              <w:left w:val="nil"/>
              <w:bottom w:val="single" w:sz="4" w:space="0" w:color="auto"/>
              <w:right w:val="single" w:sz="4" w:space="0" w:color="auto"/>
            </w:tcBorders>
            <w:noWrap/>
            <w:vAlign w:val="bottom"/>
            <w:hideMark/>
          </w:tcPr>
          <w:p w14:paraId="28B22E7C" w14:textId="77777777" w:rsidR="0028083E" w:rsidRPr="00DE68A1" w:rsidRDefault="0028083E" w:rsidP="0028083E">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Claims on Securitized Assts</w:t>
            </w:r>
          </w:p>
        </w:tc>
        <w:tc>
          <w:tcPr>
            <w:tcW w:w="1984" w:type="dxa"/>
            <w:tcBorders>
              <w:top w:val="nil"/>
              <w:left w:val="nil"/>
              <w:bottom w:val="single" w:sz="4" w:space="0" w:color="auto"/>
              <w:right w:val="single" w:sz="4" w:space="0" w:color="auto"/>
            </w:tcBorders>
            <w:noWrap/>
            <w:vAlign w:val="bottom"/>
            <w:hideMark/>
          </w:tcPr>
          <w:p w14:paraId="56AE1B72" w14:textId="44B97ED2"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0</w:t>
            </w:r>
          </w:p>
        </w:tc>
        <w:tc>
          <w:tcPr>
            <w:tcW w:w="1985" w:type="dxa"/>
            <w:tcBorders>
              <w:top w:val="nil"/>
              <w:left w:val="nil"/>
              <w:bottom w:val="single" w:sz="4" w:space="0" w:color="auto"/>
              <w:right w:val="single" w:sz="8" w:space="0" w:color="auto"/>
            </w:tcBorders>
            <w:noWrap/>
            <w:vAlign w:val="bottom"/>
            <w:hideMark/>
          </w:tcPr>
          <w:p w14:paraId="705FBA6E" w14:textId="1B4325FE"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0</w:t>
            </w:r>
          </w:p>
        </w:tc>
      </w:tr>
      <w:tr w:rsidR="0028083E" w:rsidRPr="00DE68A1" w14:paraId="7191CFDD"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7FEED28E" w14:textId="77777777" w:rsidR="0028083E" w:rsidRPr="00DE68A1" w:rsidRDefault="0028083E" w:rsidP="0028083E">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9</w:t>
            </w:r>
          </w:p>
        </w:tc>
        <w:tc>
          <w:tcPr>
            <w:tcW w:w="3686" w:type="dxa"/>
            <w:tcBorders>
              <w:top w:val="nil"/>
              <w:left w:val="nil"/>
              <w:bottom w:val="single" w:sz="4" w:space="0" w:color="auto"/>
              <w:right w:val="single" w:sz="4" w:space="0" w:color="auto"/>
            </w:tcBorders>
            <w:noWrap/>
            <w:vAlign w:val="bottom"/>
            <w:hideMark/>
          </w:tcPr>
          <w:p w14:paraId="0810A067" w14:textId="77777777" w:rsidR="0028083E" w:rsidRPr="00DE68A1" w:rsidRDefault="0028083E" w:rsidP="0028083E">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Credit Derivative Claims</w:t>
            </w:r>
          </w:p>
        </w:tc>
        <w:tc>
          <w:tcPr>
            <w:tcW w:w="1984" w:type="dxa"/>
            <w:tcBorders>
              <w:top w:val="nil"/>
              <w:left w:val="nil"/>
              <w:bottom w:val="single" w:sz="4" w:space="0" w:color="auto"/>
              <w:right w:val="single" w:sz="4" w:space="0" w:color="auto"/>
            </w:tcBorders>
            <w:noWrap/>
            <w:vAlign w:val="bottom"/>
            <w:hideMark/>
          </w:tcPr>
          <w:p w14:paraId="00E64AFD" w14:textId="7A1543BB"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0</w:t>
            </w:r>
          </w:p>
        </w:tc>
        <w:tc>
          <w:tcPr>
            <w:tcW w:w="1985" w:type="dxa"/>
            <w:tcBorders>
              <w:top w:val="nil"/>
              <w:left w:val="nil"/>
              <w:bottom w:val="single" w:sz="4" w:space="0" w:color="auto"/>
              <w:right w:val="single" w:sz="8" w:space="0" w:color="auto"/>
            </w:tcBorders>
            <w:noWrap/>
            <w:vAlign w:val="bottom"/>
            <w:hideMark/>
          </w:tcPr>
          <w:p w14:paraId="1DD78EE6" w14:textId="1CD4618F"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0</w:t>
            </w:r>
          </w:p>
        </w:tc>
      </w:tr>
      <w:tr w:rsidR="0028083E" w:rsidRPr="00DE68A1" w14:paraId="041F0C6E"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01E0537A" w14:textId="77777777" w:rsidR="0028083E" w:rsidRPr="00DE68A1" w:rsidRDefault="0028083E" w:rsidP="0028083E">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10</w:t>
            </w:r>
          </w:p>
        </w:tc>
        <w:tc>
          <w:tcPr>
            <w:tcW w:w="3686" w:type="dxa"/>
            <w:tcBorders>
              <w:top w:val="nil"/>
              <w:left w:val="nil"/>
              <w:bottom w:val="single" w:sz="4" w:space="0" w:color="auto"/>
              <w:right w:val="single" w:sz="4" w:space="0" w:color="auto"/>
            </w:tcBorders>
            <w:noWrap/>
            <w:vAlign w:val="bottom"/>
            <w:hideMark/>
          </w:tcPr>
          <w:p w14:paraId="15EF26B2" w14:textId="77777777" w:rsidR="0028083E" w:rsidRPr="00DE68A1" w:rsidRDefault="0028083E" w:rsidP="0028083E">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Regulatory Retail</w:t>
            </w:r>
          </w:p>
        </w:tc>
        <w:tc>
          <w:tcPr>
            <w:tcW w:w="1984" w:type="dxa"/>
            <w:tcBorders>
              <w:top w:val="nil"/>
              <w:left w:val="nil"/>
              <w:bottom w:val="single" w:sz="4" w:space="0" w:color="auto"/>
              <w:right w:val="single" w:sz="4" w:space="0" w:color="auto"/>
            </w:tcBorders>
            <w:noWrap/>
            <w:vAlign w:val="bottom"/>
            <w:hideMark/>
          </w:tcPr>
          <w:p w14:paraId="12AC3710" w14:textId="1AAF71E9"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0</w:t>
            </w:r>
          </w:p>
        </w:tc>
        <w:tc>
          <w:tcPr>
            <w:tcW w:w="1985" w:type="dxa"/>
            <w:tcBorders>
              <w:top w:val="nil"/>
              <w:left w:val="nil"/>
              <w:bottom w:val="single" w:sz="4" w:space="0" w:color="auto"/>
              <w:right w:val="single" w:sz="8" w:space="0" w:color="auto"/>
            </w:tcBorders>
            <w:noWrap/>
            <w:vAlign w:val="bottom"/>
            <w:hideMark/>
          </w:tcPr>
          <w:p w14:paraId="73C9145C" w14:textId="57B1ABA5"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0</w:t>
            </w:r>
          </w:p>
        </w:tc>
      </w:tr>
      <w:tr w:rsidR="0028083E" w:rsidRPr="00DE68A1" w14:paraId="5F19BAFE"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362C86F1" w14:textId="77777777" w:rsidR="0028083E" w:rsidRPr="00DE68A1" w:rsidRDefault="0028083E" w:rsidP="0028083E">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11</w:t>
            </w:r>
          </w:p>
        </w:tc>
        <w:tc>
          <w:tcPr>
            <w:tcW w:w="3686" w:type="dxa"/>
            <w:tcBorders>
              <w:top w:val="nil"/>
              <w:left w:val="nil"/>
              <w:bottom w:val="single" w:sz="4" w:space="0" w:color="auto"/>
              <w:right w:val="single" w:sz="4" w:space="0" w:color="auto"/>
            </w:tcBorders>
            <w:noWrap/>
            <w:vAlign w:val="bottom"/>
            <w:hideMark/>
          </w:tcPr>
          <w:p w14:paraId="6541A11E" w14:textId="77777777" w:rsidR="0028083E" w:rsidRPr="00DE68A1" w:rsidRDefault="0028083E" w:rsidP="0028083E">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Past Due Exposures</w:t>
            </w:r>
          </w:p>
        </w:tc>
        <w:tc>
          <w:tcPr>
            <w:tcW w:w="1984" w:type="dxa"/>
            <w:tcBorders>
              <w:top w:val="nil"/>
              <w:left w:val="nil"/>
              <w:bottom w:val="single" w:sz="4" w:space="0" w:color="auto"/>
              <w:right w:val="single" w:sz="4" w:space="0" w:color="auto"/>
            </w:tcBorders>
            <w:noWrap/>
            <w:vAlign w:val="bottom"/>
            <w:hideMark/>
          </w:tcPr>
          <w:p w14:paraId="21CEE660" w14:textId="5612B507"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189</w:t>
            </w:r>
          </w:p>
        </w:tc>
        <w:tc>
          <w:tcPr>
            <w:tcW w:w="1985" w:type="dxa"/>
            <w:tcBorders>
              <w:top w:val="nil"/>
              <w:left w:val="nil"/>
              <w:bottom w:val="single" w:sz="4" w:space="0" w:color="auto"/>
              <w:right w:val="single" w:sz="8" w:space="0" w:color="auto"/>
            </w:tcBorders>
            <w:noWrap/>
            <w:vAlign w:val="bottom"/>
            <w:hideMark/>
          </w:tcPr>
          <w:p w14:paraId="1968A8A0" w14:textId="26B7B073"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189</w:t>
            </w:r>
          </w:p>
        </w:tc>
      </w:tr>
      <w:tr w:rsidR="0028083E" w:rsidRPr="00DE68A1" w14:paraId="1D3E479A"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79279D4D" w14:textId="77777777" w:rsidR="0028083E" w:rsidRPr="00DE68A1" w:rsidRDefault="0028083E" w:rsidP="0028083E">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12</w:t>
            </w:r>
          </w:p>
        </w:tc>
        <w:tc>
          <w:tcPr>
            <w:tcW w:w="3686" w:type="dxa"/>
            <w:tcBorders>
              <w:top w:val="nil"/>
              <w:left w:val="nil"/>
              <w:bottom w:val="single" w:sz="4" w:space="0" w:color="auto"/>
              <w:right w:val="single" w:sz="4" w:space="0" w:color="auto"/>
            </w:tcBorders>
            <w:noWrap/>
            <w:vAlign w:val="bottom"/>
            <w:hideMark/>
          </w:tcPr>
          <w:p w14:paraId="7FCA9CE9" w14:textId="77777777" w:rsidR="0028083E" w:rsidRPr="00DE68A1" w:rsidRDefault="0028083E" w:rsidP="0028083E">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Other Exposures</w:t>
            </w:r>
          </w:p>
        </w:tc>
        <w:tc>
          <w:tcPr>
            <w:tcW w:w="1984" w:type="dxa"/>
            <w:tcBorders>
              <w:top w:val="nil"/>
              <w:left w:val="nil"/>
              <w:bottom w:val="single" w:sz="4" w:space="0" w:color="auto"/>
              <w:right w:val="single" w:sz="4" w:space="0" w:color="auto"/>
            </w:tcBorders>
            <w:noWrap/>
            <w:vAlign w:val="bottom"/>
            <w:hideMark/>
          </w:tcPr>
          <w:p w14:paraId="1AF2A649" w14:textId="4C943AF1"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190</w:t>
            </w:r>
            <w:r w:rsidR="003047C2" w:rsidRPr="003047C2">
              <w:rPr>
                <w:rFonts w:asciiTheme="minorHAnsi" w:hAnsiTheme="minorHAnsi" w:cstheme="minorHAnsi"/>
                <w:color w:val="000000"/>
                <w:sz w:val="18"/>
                <w:szCs w:val="18"/>
              </w:rPr>
              <w:t>,</w:t>
            </w:r>
            <w:r w:rsidRPr="003047C2">
              <w:rPr>
                <w:rFonts w:asciiTheme="minorHAnsi" w:hAnsiTheme="minorHAnsi" w:cstheme="minorHAnsi"/>
                <w:color w:val="000000"/>
                <w:sz w:val="18"/>
                <w:szCs w:val="18"/>
              </w:rPr>
              <w:t>951</w:t>
            </w:r>
          </w:p>
        </w:tc>
        <w:tc>
          <w:tcPr>
            <w:tcW w:w="1985" w:type="dxa"/>
            <w:tcBorders>
              <w:top w:val="nil"/>
              <w:left w:val="nil"/>
              <w:bottom w:val="single" w:sz="4" w:space="0" w:color="auto"/>
              <w:right w:val="single" w:sz="8" w:space="0" w:color="auto"/>
            </w:tcBorders>
            <w:noWrap/>
            <w:vAlign w:val="bottom"/>
            <w:hideMark/>
          </w:tcPr>
          <w:p w14:paraId="69E1F9EF" w14:textId="50078C0A" w:rsidR="0028083E" w:rsidRPr="00DE68A1" w:rsidRDefault="0028083E" w:rsidP="0028083E">
            <w:pPr>
              <w:bidi w:val="0"/>
              <w:jc w:val="right"/>
              <w:rPr>
                <w:rFonts w:asciiTheme="minorHAnsi" w:hAnsiTheme="minorHAnsi" w:cstheme="minorHAnsi"/>
                <w:color w:val="000000"/>
                <w:sz w:val="18"/>
                <w:szCs w:val="18"/>
              </w:rPr>
            </w:pPr>
            <w:r w:rsidRPr="003047C2">
              <w:rPr>
                <w:rFonts w:asciiTheme="minorHAnsi" w:hAnsiTheme="minorHAnsi" w:cstheme="minorHAnsi"/>
                <w:color w:val="000000"/>
                <w:sz w:val="18"/>
                <w:szCs w:val="18"/>
              </w:rPr>
              <w:t>190</w:t>
            </w:r>
            <w:r w:rsidR="003047C2" w:rsidRPr="003047C2">
              <w:rPr>
                <w:rFonts w:asciiTheme="minorHAnsi" w:hAnsiTheme="minorHAnsi" w:cstheme="minorHAnsi"/>
                <w:color w:val="000000"/>
                <w:sz w:val="18"/>
                <w:szCs w:val="18"/>
              </w:rPr>
              <w:t>,</w:t>
            </w:r>
            <w:r w:rsidRPr="003047C2">
              <w:rPr>
                <w:rFonts w:asciiTheme="minorHAnsi" w:hAnsiTheme="minorHAnsi" w:cstheme="minorHAnsi"/>
                <w:color w:val="000000"/>
                <w:sz w:val="18"/>
                <w:szCs w:val="18"/>
              </w:rPr>
              <w:t>951</w:t>
            </w:r>
          </w:p>
        </w:tc>
      </w:tr>
      <w:tr w:rsidR="00FC0E27" w:rsidRPr="00DE68A1" w14:paraId="58223E4D" w14:textId="77777777" w:rsidTr="00E63223">
        <w:trPr>
          <w:trHeight w:val="275"/>
        </w:trPr>
        <w:tc>
          <w:tcPr>
            <w:tcW w:w="708" w:type="dxa"/>
            <w:tcBorders>
              <w:top w:val="nil"/>
              <w:left w:val="single" w:sz="8" w:space="0" w:color="auto"/>
              <w:bottom w:val="nil"/>
              <w:right w:val="single" w:sz="4" w:space="0" w:color="auto"/>
            </w:tcBorders>
            <w:noWrap/>
            <w:vAlign w:val="bottom"/>
            <w:hideMark/>
          </w:tcPr>
          <w:p w14:paraId="794DA97F"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3686" w:type="dxa"/>
            <w:tcBorders>
              <w:top w:val="nil"/>
              <w:left w:val="nil"/>
              <w:bottom w:val="nil"/>
              <w:right w:val="single" w:sz="4" w:space="0" w:color="auto"/>
            </w:tcBorders>
            <w:noWrap/>
            <w:vAlign w:val="bottom"/>
            <w:hideMark/>
          </w:tcPr>
          <w:p w14:paraId="336C6313"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Total ==&gt;</w:t>
            </w:r>
          </w:p>
        </w:tc>
        <w:tc>
          <w:tcPr>
            <w:tcW w:w="1984" w:type="dxa"/>
            <w:tcBorders>
              <w:top w:val="nil"/>
              <w:left w:val="nil"/>
              <w:bottom w:val="nil"/>
              <w:right w:val="single" w:sz="4" w:space="0" w:color="auto"/>
            </w:tcBorders>
            <w:noWrap/>
            <w:vAlign w:val="bottom"/>
            <w:hideMark/>
          </w:tcPr>
          <w:p w14:paraId="6021A625" w14:textId="6DA60B30" w:rsidR="00FC0E27" w:rsidRPr="00DE68A1" w:rsidRDefault="0028083E"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948</w:t>
            </w:r>
            <w:r w:rsidR="003047C2">
              <w:rPr>
                <w:rFonts w:asciiTheme="minorHAnsi" w:hAnsiTheme="minorHAnsi" w:cstheme="minorHAnsi"/>
                <w:color w:val="000000"/>
                <w:sz w:val="18"/>
                <w:szCs w:val="18"/>
              </w:rPr>
              <w:t>,</w:t>
            </w:r>
            <w:r w:rsidRPr="00DE68A1">
              <w:rPr>
                <w:rFonts w:asciiTheme="minorHAnsi" w:hAnsiTheme="minorHAnsi" w:cstheme="minorHAnsi"/>
                <w:color w:val="000000"/>
                <w:sz w:val="18"/>
                <w:szCs w:val="18"/>
              </w:rPr>
              <w:t>822</w:t>
            </w:r>
          </w:p>
        </w:tc>
        <w:tc>
          <w:tcPr>
            <w:tcW w:w="1985" w:type="dxa"/>
            <w:tcBorders>
              <w:top w:val="nil"/>
              <w:left w:val="nil"/>
              <w:bottom w:val="nil"/>
              <w:right w:val="single" w:sz="8" w:space="0" w:color="auto"/>
            </w:tcBorders>
            <w:noWrap/>
            <w:vAlign w:val="bottom"/>
            <w:hideMark/>
          </w:tcPr>
          <w:p w14:paraId="05EFB5E8" w14:textId="16080FE6" w:rsidR="00FC0E27" w:rsidRPr="00DE68A1" w:rsidRDefault="0028083E"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624</w:t>
            </w:r>
            <w:r w:rsidR="003047C2">
              <w:rPr>
                <w:rFonts w:asciiTheme="minorHAnsi" w:hAnsiTheme="minorHAnsi" w:cstheme="minorHAnsi"/>
                <w:color w:val="000000"/>
                <w:sz w:val="18"/>
                <w:szCs w:val="18"/>
              </w:rPr>
              <w:t>,</w:t>
            </w:r>
            <w:r w:rsidRPr="00DE68A1">
              <w:rPr>
                <w:rFonts w:asciiTheme="minorHAnsi" w:hAnsiTheme="minorHAnsi" w:cstheme="minorHAnsi"/>
                <w:color w:val="000000"/>
                <w:sz w:val="18"/>
                <w:szCs w:val="18"/>
              </w:rPr>
              <w:t>935</w:t>
            </w:r>
          </w:p>
        </w:tc>
      </w:tr>
      <w:tr w:rsidR="00FC0E27" w:rsidRPr="00DE68A1" w14:paraId="6CD8F462" w14:textId="77777777" w:rsidTr="00E63223">
        <w:trPr>
          <w:trHeight w:val="275"/>
        </w:trPr>
        <w:tc>
          <w:tcPr>
            <w:tcW w:w="708" w:type="dxa"/>
            <w:tcBorders>
              <w:top w:val="single" w:sz="4" w:space="0" w:color="auto"/>
              <w:left w:val="single" w:sz="8" w:space="0" w:color="auto"/>
              <w:bottom w:val="single" w:sz="4" w:space="0" w:color="auto"/>
              <w:right w:val="single" w:sz="4" w:space="0" w:color="auto"/>
            </w:tcBorders>
            <w:noWrap/>
            <w:vAlign w:val="bottom"/>
            <w:hideMark/>
          </w:tcPr>
          <w:p w14:paraId="34BCF294"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5670" w:type="dxa"/>
            <w:gridSpan w:val="2"/>
            <w:tcBorders>
              <w:top w:val="single" w:sz="4" w:space="0" w:color="auto"/>
              <w:left w:val="nil"/>
              <w:bottom w:val="single" w:sz="4" w:space="0" w:color="auto"/>
              <w:right w:val="single" w:sz="4" w:space="0" w:color="000000"/>
            </w:tcBorders>
            <w:noWrap/>
            <w:vAlign w:val="bottom"/>
            <w:hideMark/>
          </w:tcPr>
          <w:p w14:paraId="4FB2F31A"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Less General Provision</w:t>
            </w:r>
          </w:p>
        </w:tc>
        <w:tc>
          <w:tcPr>
            <w:tcW w:w="1985" w:type="dxa"/>
            <w:tcBorders>
              <w:top w:val="single" w:sz="4" w:space="0" w:color="auto"/>
              <w:left w:val="nil"/>
              <w:bottom w:val="single" w:sz="4" w:space="0" w:color="auto"/>
              <w:right w:val="single" w:sz="8" w:space="0" w:color="auto"/>
            </w:tcBorders>
            <w:noWrap/>
            <w:vAlign w:val="bottom"/>
            <w:hideMark/>
          </w:tcPr>
          <w:p w14:paraId="1F251665" w14:textId="4E56ADEA" w:rsidR="00FC0E27" w:rsidRPr="00DE68A1" w:rsidRDefault="00FC0E27"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r w:rsidR="0028083E" w:rsidRPr="00DE68A1">
              <w:rPr>
                <w:rFonts w:asciiTheme="minorHAnsi" w:hAnsiTheme="minorHAnsi" w:cstheme="minorHAnsi"/>
                <w:color w:val="000000"/>
                <w:sz w:val="18"/>
                <w:szCs w:val="18"/>
              </w:rPr>
              <w:t>32</w:t>
            </w:r>
            <w:r w:rsidR="003047C2">
              <w:rPr>
                <w:rFonts w:asciiTheme="minorHAnsi" w:hAnsiTheme="minorHAnsi" w:cstheme="minorHAnsi"/>
                <w:color w:val="000000"/>
                <w:sz w:val="18"/>
                <w:szCs w:val="18"/>
              </w:rPr>
              <w:t>,</w:t>
            </w:r>
            <w:r w:rsidR="0028083E" w:rsidRPr="00DE68A1">
              <w:rPr>
                <w:rFonts w:asciiTheme="minorHAnsi" w:hAnsiTheme="minorHAnsi" w:cstheme="minorHAnsi"/>
                <w:color w:val="000000"/>
                <w:sz w:val="18"/>
                <w:szCs w:val="18"/>
              </w:rPr>
              <w:t>970</w:t>
            </w:r>
          </w:p>
        </w:tc>
      </w:tr>
      <w:tr w:rsidR="00FC0E27" w:rsidRPr="00DE68A1" w14:paraId="7FC09378"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5A244FAE"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5670" w:type="dxa"/>
            <w:gridSpan w:val="2"/>
            <w:tcBorders>
              <w:top w:val="single" w:sz="4" w:space="0" w:color="auto"/>
              <w:left w:val="nil"/>
              <w:bottom w:val="single" w:sz="4" w:space="0" w:color="auto"/>
              <w:right w:val="single" w:sz="4" w:space="0" w:color="000000"/>
            </w:tcBorders>
            <w:noWrap/>
            <w:vAlign w:val="bottom"/>
            <w:hideMark/>
          </w:tcPr>
          <w:p w14:paraId="3E11BE9F"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Total Credit Risk Exposure</w:t>
            </w:r>
          </w:p>
        </w:tc>
        <w:tc>
          <w:tcPr>
            <w:tcW w:w="1985" w:type="dxa"/>
            <w:tcBorders>
              <w:top w:val="nil"/>
              <w:left w:val="nil"/>
              <w:bottom w:val="single" w:sz="4" w:space="0" w:color="auto"/>
              <w:right w:val="single" w:sz="8" w:space="0" w:color="auto"/>
            </w:tcBorders>
            <w:noWrap/>
            <w:vAlign w:val="bottom"/>
            <w:hideMark/>
          </w:tcPr>
          <w:p w14:paraId="49CAAFA1" w14:textId="3BE1CF6F" w:rsidR="00FC0E27" w:rsidRPr="00DE68A1" w:rsidRDefault="00FC0E27"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591</w:t>
            </w:r>
            <w:r w:rsidR="00984943" w:rsidRPr="00DE68A1">
              <w:rPr>
                <w:rFonts w:asciiTheme="minorHAnsi" w:hAnsiTheme="minorHAnsi" w:cstheme="minorHAnsi"/>
                <w:color w:val="000000"/>
                <w:sz w:val="18"/>
                <w:szCs w:val="18"/>
              </w:rPr>
              <w:t>,</w:t>
            </w:r>
            <w:r w:rsidR="0028083E" w:rsidRPr="00DE68A1">
              <w:rPr>
                <w:rFonts w:asciiTheme="minorHAnsi" w:hAnsiTheme="minorHAnsi" w:cstheme="minorHAnsi"/>
                <w:color w:val="000000"/>
                <w:sz w:val="18"/>
                <w:szCs w:val="18"/>
              </w:rPr>
              <w:t>965</w:t>
            </w:r>
          </w:p>
        </w:tc>
      </w:tr>
      <w:tr w:rsidR="00FC0E27" w:rsidRPr="00DE68A1" w14:paraId="39697889"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19E65696"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5670" w:type="dxa"/>
            <w:gridSpan w:val="2"/>
            <w:tcBorders>
              <w:top w:val="single" w:sz="4" w:space="0" w:color="auto"/>
              <w:left w:val="nil"/>
              <w:bottom w:val="single" w:sz="4" w:space="0" w:color="auto"/>
              <w:right w:val="single" w:sz="4" w:space="0" w:color="000000"/>
            </w:tcBorders>
            <w:noWrap/>
            <w:vAlign w:val="bottom"/>
            <w:hideMark/>
          </w:tcPr>
          <w:p w14:paraId="349472DD"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Min Capital Requirements for Credit Risk ==&gt;</w:t>
            </w:r>
          </w:p>
        </w:tc>
        <w:tc>
          <w:tcPr>
            <w:tcW w:w="1985" w:type="dxa"/>
            <w:tcBorders>
              <w:top w:val="nil"/>
              <w:left w:val="nil"/>
              <w:bottom w:val="single" w:sz="4" w:space="0" w:color="auto"/>
              <w:right w:val="single" w:sz="8" w:space="0" w:color="auto"/>
            </w:tcBorders>
            <w:noWrap/>
            <w:vAlign w:val="bottom"/>
            <w:hideMark/>
          </w:tcPr>
          <w:p w14:paraId="3E074EDE" w14:textId="60DFB561" w:rsidR="00FC0E27" w:rsidRPr="00DE68A1" w:rsidRDefault="00FC0E27"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76</w:t>
            </w:r>
            <w:r w:rsidR="00984943" w:rsidRPr="00DE68A1">
              <w:rPr>
                <w:rFonts w:asciiTheme="minorHAnsi" w:hAnsiTheme="minorHAnsi" w:cstheme="minorHAnsi"/>
                <w:color w:val="000000"/>
                <w:sz w:val="18"/>
                <w:szCs w:val="18"/>
              </w:rPr>
              <w:t>,</w:t>
            </w:r>
            <w:r w:rsidRPr="00DE68A1">
              <w:rPr>
                <w:rFonts w:asciiTheme="minorHAnsi" w:hAnsiTheme="minorHAnsi" w:cstheme="minorHAnsi"/>
                <w:color w:val="000000"/>
                <w:sz w:val="18"/>
                <w:szCs w:val="18"/>
              </w:rPr>
              <w:t>9</w:t>
            </w:r>
            <w:r w:rsidR="0028083E" w:rsidRPr="00DE68A1">
              <w:rPr>
                <w:rFonts w:asciiTheme="minorHAnsi" w:hAnsiTheme="minorHAnsi" w:cstheme="minorHAnsi"/>
                <w:color w:val="000000"/>
                <w:sz w:val="18"/>
                <w:szCs w:val="18"/>
              </w:rPr>
              <w:t>55</w:t>
            </w:r>
          </w:p>
        </w:tc>
      </w:tr>
      <w:tr w:rsidR="00FC0E27" w:rsidRPr="00DE68A1" w14:paraId="61BEA21D" w14:textId="77777777" w:rsidTr="00E63223">
        <w:trPr>
          <w:trHeight w:val="275"/>
        </w:trPr>
        <w:tc>
          <w:tcPr>
            <w:tcW w:w="8363" w:type="dxa"/>
            <w:gridSpan w:val="4"/>
            <w:tcBorders>
              <w:top w:val="single" w:sz="4" w:space="0" w:color="auto"/>
              <w:left w:val="single" w:sz="8" w:space="0" w:color="auto"/>
              <w:bottom w:val="single" w:sz="4" w:space="0" w:color="auto"/>
              <w:right w:val="single" w:sz="8" w:space="0" w:color="000000"/>
            </w:tcBorders>
            <w:noWrap/>
            <w:vAlign w:val="bottom"/>
            <w:hideMark/>
          </w:tcPr>
          <w:p w14:paraId="1E41EA1A" w14:textId="77777777" w:rsidR="00FC0E27" w:rsidRPr="00DE68A1" w:rsidRDefault="00FC0E27" w:rsidP="00FC0E2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r>
      <w:tr w:rsidR="00FC0E27" w:rsidRPr="00DE68A1" w14:paraId="595821AC" w14:textId="77777777" w:rsidTr="00E63223">
        <w:trPr>
          <w:trHeight w:val="275"/>
        </w:trPr>
        <w:tc>
          <w:tcPr>
            <w:tcW w:w="8363" w:type="dxa"/>
            <w:gridSpan w:val="4"/>
            <w:tcBorders>
              <w:top w:val="single" w:sz="4" w:space="0" w:color="auto"/>
              <w:left w:val="single" w:sz="8" w:space="0" w:color="auto"/>
              <w:bottom w:val="single" w:sz="4" w:space="0" w:color="auto"/>
              <w:right w:val="single" w:sz="8" w:space="0" w:color="000000"/>
            </w:tcBorders>
            <w:noWrap/>
            <w:vAlign w:val="bottom"/>
            <w:hideMark/>
          </w:tcPr>
          <w:p w14:paraId="695E14FD"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Capital Requirements for Market Risk</w:t>
            </w:r>
          </w:p>
        </w:tc>
      </w:tr>
      <w:tr w:rsidR="00FC0E27" w:rsidRPr="00DE68A1" w14:paraId="18428F63"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2510B5AD"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3686" w:type="dxa"/>
            <w:tcBorders>
              <w:top w:val="nil"/>
              <w:left w:val="nil"/>
              <w:bottom w:val="single" w:sz="4" w:space="0" w:color="auto"/>
              <w:right w:val="single" w:sz="4" w:space="0" w:color="auto"/>
            </w:tcBorders>
            <w:noWrap/>
            <w:vAlign w:val="bottom"/>
            <w:hideMark/>
          </w:tcPr>
          <w:p w14:paraId="0D1680CC"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Total Market Risk Weighted Exposure</w:t>
            </w:r>
          </w:p>
        </w:tc>
        <w:tc>
          <w:tcPr>
            <w:tcW w:w="1984" w:type="dxa"/>
            <w:tcBorders>
              <w:top w:val="nil"/>
              <w:left w:val="nil"/>
              <w:bottom w:val="single" w:sz="4" w:space="0" w:color="auto"/>
              <w:right w:val="single" w:sz="4" w:space="0" w:color="auto"/>
            </w:tcBorders>
            <w:noWrap/>
            <w:vAlign w:val="bottom"/>
            <w:hideMark/>
          </w:tcPr>
          <w:p w14:paraId="3357C882"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1985" w:type="dxa"/>
            <w:tcBorders>
              <w:top w:val="nil"/>
              <w:left w:val="nil"/>
              <w:bottom w:val="single" w:sz="4" w:space="0" w:color="auto"/>
              <w:right w:val="single" w:sz="8" w:space="0" w:color="auto"/>
            </w:tcBorders>
            <w:noWrap/>
            <w:vAlign w:val="bottom"/>
            <w:hideMark/>
          </w:tcPr>
          <w:p w14:paraId="49B3F81F" w14:textId="6E5ACF29" w:rsidR="00FC0E27" w:rsidRPr="00DE68A1" w:rsidRDefault="0028083E"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7</w:t>
            </w:r>
            <w:r w:rsidR="003047C2">
              <w:rPr>
                <w:rFonts w:asciiTheme="minorHAnsi" w:hAnsiTheme="minorHAnsi" w:cstheme="minorHAnsi"/>
                <w:color w:val="000000"/>
                <w:sz w:val="18"/>
                <w:szCs w:val="18"/>
              </w:rPr>
              <w:t>,</w:t>
            </w:r>
            <w:r w:rsidRPr="00DE68A1">
              <w:rPr>
                <w:rFonts w:asciiTheme="minorHAnsi" w:hAnsiTheme="minorHAnsi" w:cstheme="minorHAnsi"/>
                <w:color w:val="000000"/>
                <w:sz w:val="18"/>
                <w:szCs w:val="18"/>
              </w:rPr>
              <w:t>423</w:t>
            </w:r>
          </w:p>
        </w:tc>
      </w:tr>
      <w:tr w:rsidR="00FC0E27" w:rsidRPr="00DE68A1" w14:paraId="6F0679FD"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4C837F70"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5670" w:type="dxa"/>
            <w:gridSpan w:val="2"/>
            <w:tcBorders>
              <w:top w:val="single" w:sz="4" w:space="0" w:color="auto"/>
              <w:left w:val="nil"/>
              <w:bottom w:val="single" w:sz="4" w:space="0" w:color="auto"/>
              <w:right w:val="single" w:sz="4" w:space="0" w:color="000000"/>
            </w:tcBorders>
            <w:noWrap/>
            <w:vAlign w:val="bottom"/>
            <w:hideMark/>
          </w:tcPr>
          <w:p w14:paraId="6BBCC78C"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Minimum Capital required ==&gt;</w:t>
            </w:r>
          </w:p>
        </w:tc>
        <w:tc>
          <w:tcPr>
            <w:tcW w:w="1985" w:type="dxa"/>
            <w:tcBorders>
              <w:top w:val="nil"/>
              <w:left w:val="nil"/>
              <w:bottom w:val="single" w:sz="4" w:space="0" w:color="auto"/>
              <w:right w:val="single" w:sz="8" w:space="0" w:color="auto"/>
            </w:tcBorders>
            <w:noWrap/>
            <w:vAlign w:val="bottom"/>
            <w:hideMark/>
          </w:tcPr>
          <w:p w14:paraId="44403A39" w14:textId="0E5951EB" w:rsidR="00FC0E27" w:rsidRPr="00DE68A1" w:rsidRDefault="003E6E7C" w:rsidP="00FC0E27">
            <w:pPr>
              <w:bidi w:val="0"/>
              <w:jc w:val="right"/>
              <w:rPr>
                <w:rFonts w:asciiTheme="minorHAnsi" w:hAnsiTheme="minorHAnsi" w:cstheme="minorHAnsi"/>
                <w:color w:val="000000"/>
                <w:sz w:val="18"/>
                <w:szCs w:val="18"/>
              </w:rPr>
            </w:pPr>
            <w:commentRangeStart w:id="3"/>
            <w:commentRangeStart w:id="4"/>
            <w:r>
              <w:rPr>
                <w:rFonts w:asciiTheme="minorHAnsi" w:hAnsiTheme="minorHAnsi" w:cstheme="minorHAnsi"/>
                <w:color w:val="000000"/>
                <w:sz w:val="18"/>
                <w:szCs w:val="18"/>
              </w:rPr>
              <w:t>9</w:t>
            </w:r>
            <w:r w:rsidR="0028083E" w:rsidRPr="00DE68A1">
              <w:rPr>
                <w:rFonts w:asciiTheme="minorHAnsi" w:hAnsiTheme="minorHAnsi" w:cstheme="minorHAnsi"/>
                <w:color w:val="000000"/>
                <w:sz w:val="18"/>
                <w:szCs w:val="18"/>
              </w:rPr>
              <w:t>65</w:t>
            </w:r>
            <w:commentRangeEnd w:id="3"/>
            <w:r w:rsidRPr="00DE68A1">
              <w:rPr>
                <w:rStyle w:val="CommentReference"/>
                <w:rFonts w:asciiTheme="minorHAnsi" w:hAnsiTheme="minorHAnsi" w:cstheme="minorHAnsi"/>
                <w:color w:val="000000"/>
                <w:sz w:val="18"/>
                <w:szCs w:val="18"/>
              </w:rPr>
              <w:commentReference w:id="3"/>
            </w:r>
            <w:commentRangeEnd w:id="4"/>
            <w:r w:rsidR="00106DC8">
              <w:rPr>
                <w:rStyle w:val="CommentReference"/>
              </w:rPr>
              <w:commentReference w:id="4"/>
            </w:r>
          </w:p>
        </w:tc>
      </w:tr>
      <w:tr w:rsidR="00FC0E27" w:rsidRPr="00DE68A1" w14:paraId="468803C4" w14:textId="77777777" w:rsidTr="00E63223">
        <w:trPr>
          <w:trHeight w:val="275"/>
        </w:trPr>
        <w:tc>
          <w:tcPr>
            <w:tcW w:w="8363" w:type="dxa"/>
            <w:gridSpan w:val="4"/>
            <w:tcBorders>
              <w:top w:val="single" w:sz="4" w:space="0" w:color="auto"/>
              <w:left w:val="single" w:sz="8" w:space="0" w:color="auto"/>
              <w:bottom w:val="single" w:sz="4" w:space="0" w:color="auto"/>
              <w:right w:val="single" w:sz="8" w:space="0" w:color="000000"/>
            </w:tcBorders>
            <w:noWrap/>
            <w:vAlign w:val="bottom"/>
            <w:hideMark/>
          </w:tcPr>
          <w:p w14:paraId="6682E495" w14:textId="77777777" w:rsidR="00FC0E27" w:rsidRPr="00DE68A1" w:rsidRDefault="00FC0E27" w:rsidP="00FC0E2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r>
      <w:tr w:rsidR="00FC0E27" w:rsidRPr="00DE68A1" w14:paraId="46B41DF8" w14:textId="77777777" w:rsidTr="00E63223">
        <w:trPr>
          <w:trHeight w:val="275"/>
        </w:trPr>
        <w:tc>
          <w:tcPr>
            <w:tcW w:w="8363" w:type="dxa"/>
            <w:gridSpan w:val="4"/>
            <w:tcBorders>
              <w:top w:val="single" w:sz="4" w:space="0" w:color="auto"/>
              <w:left w:val="single" w:sz="8" w:space="0" w:color="auto"/>
              <w:bottom w:val="single" w:sz="4" w:space="0" w:color="auto"/>
              <w:right w:val="single" w:sz="8" w:space="0" w:color="000000"/>
            </w:tcBorders>
            <w:noWrap/>
            <w:vAlign w:val="bottom"/>
            <w:hideMark/>
          </w:tcPr>
          <w:p w14:paraId="6B0555A9"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Capital Requirements for Operational Risk</w:t>
            </w:r>
          </w:p>
        </w:tc>
      </w:tr>
      <w:tr w:rsidR="00FC0E27" w:rsidRPr="00DE68A1" w14:paraId="5FCCEC45"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06EE8A64"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3686" w:type="dxa"/>
            <w:tcBorders>
              <w:top w:val="nil"/>
              <w:left w:val="nil"/>
              <w:bottom w:val="single" w:sz="4" w:space="0" w:color="auto"/>
              <w:right w:val="single" w:sz="4" w:space="0" w:color="auto"/>
            </w:tcBorders>
            <w:noWrap/>
            <w:vAlign w:val="bottom"/>
            <w:hideMark/>
          </w:tcPr>
          <w:p w14:paraId="083FC2E6"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Total Operational Risk Weighted Exposure</w:t>
            </w:r>
          </w:p>
        </w:tc>
        <w:tc>
          <w:tcPr>
            <w:tcW w:w="1984" w:type="dxa"/>
            <w:tcBorders>
              <w:top w:val="nil"/>
              <w:left w:val="nil"/>
              <w:bottom w:val="single" w:sz="4" w:space="0" w:color="auto"/>
              <w:right w:val="single" w:sz="4" w:space="0" w:color="auto"/>
            </w:tcBorders>
            <w:noWrap/>
            <w:vAlign w:val="bottom"/>
            <w:hideMark/>
          </w:tcPr>
          <w:p w14:paraId="1124973F"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1985" w:type="dxa"/>
            <w:tcBorders>
              <w:top w:val="nil"/>
              <w:left w:val="nil"/>
              <w:bottom w:val="single" w:sz="4" w:space="0" w:color="auto"/>
              <w:right w:val="single" w:sz="8" w:space="0" w:color="auto"/>
            </w:tcBorders>
            <w:noWrap/>
            <w:vAlign w:val="bottom"/>
            <w:hideMark/>
          </w:tcPr>
          <w:p w14:paraId="43CB0D60" w14:textId="2CCA39FA" w:rsidR="00FC0E27" w:rsidRPr="00DE68A1" w:rsidRDefault="0028083E"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56</w:t>
            </w:r>
            <w:r w:rsidR="003047C2">
              <w:rPr>
                <w:rFonts w:asciiTheme="minorHAnsi" w:hAnsiTheme="minorHAnsi" w:cstheme="minorHAnsi"/>
                <w:color w:val="000000"/>
                <w:sz w:val="18"/>
                <w:szCs w:val="18"/>
              </w:rPr>
              <w:t>,</w:t>
            </w:r>
            <w:r w:rsidRPr="00DE68A1">
              <w:rPr>
                <w:rFonts w:asciiTheme="minorHAnsi" w:hAnsiTheme="minorHAnsi" w:cstheme="minorHAnsi"/>
                <w:color w:val="000000"/>
                <w:sz w:val="18"/>
                <w:szCs w:val="18"/>
              </w:rPr>
              <w:t>724</w:t>
            </w:r>
          </w:p>
        </w:tc>
      </w:tr>
      <w:tr w:rsidR="00FC0E27" w:rsidRPr="00DE68A1" w14:paraId="44BB89C2" w14:textId="77777777" w:rsidTr="00E63223">
        <w:trPr>
          <w:trHeight w:val="275"/>
        </w:trPr>
        <w:tc>
          <w:tcPr>
            <w:tcW w:w="708" w:type="dxa"/>
            <w:tcBorders>
              <w:top w:val="nil"/>
              <w:left w:val="single" w:sz="8" w:space="0" w:color="auto"/>
              <w:bottom w:val="single" w:sz="4" w:space="0" w:color="auto"/>
              <w:right w:val="single" w:sz="4" w:space="0" w:color="auto"/>
            </w:tcBorders>
            <w:noWrap/>
            <w:vAlign w:val="bottom"/>
            <w:hideMark/>
          </w:tcPr>
          <w:p w14:paraId="53910F72"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5670" w:type="dxa"/>
            <w:gridSpan w:val="2"/>
            <w:tcBorders>
              <w:top w:val="single" w:sz="4" w:space="0" w:color="auto"/>
              <w:left w:val="nil"/>
              <w:bottom w:val="single" w:sz="4" w:space="0" w:color="auto"/>
              <w:right w:val="single" w:sz="4" w:space="0" w:color="000000"/>
            </w:tcBorders>
            <w:noWrap/>
            <w:vAlign w:val="bottom"/>
            <w:hideMark/>
          </w:tcPr>
          <w:p w14:paraId="7F0A7655"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Minimum Capital required ==&gt;</w:t>
            </w:r>
          </w:p>
        </w:tc>
        <w:tc>
          <w:tcPr>
            <w:tcW w:w="1985" w:type="dxa"/>
            <w:tcBorders>
              <w:top w:val="nil"/>
              <w:left w:val="nil"/>
              <w:bottom w:val="single" w:sz="4" w:space="0" w:color="auto"/>
              <w:right w:val="single" w:sz="8" w:space="0" w:color="auto"/>
            </w:tcBorders>
            <w:noWrap/>
            <w:vAlign w:val="bottom"/>
            <w:hideMark/>
          </w:tcPr>
          <w:p w14:paraId="4F6A86A0" w14:textId="31F4CB1C" w:rsidR="00FC0E27" w:rsidRPr="00DE68A1" w:rsidRDefault="0028083E"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7</w:t>
            </w:r>
            <w:r w:rsidR="003047C2">
              <w:rPr>
                <w:rFonts w:asciiTheme="minorHAnsi" w:hAnsiTheme="minorHAnsi" w:cstheme="minorHAnsi"/>
                <w:color w:val="000000"/>
                <w:sz w:val="18"/>
                <w:szCs w:val="18"/>
              </w:rPr>
              <w:t>,</w:t>
            </w:r>
            <w:commentRangeStart w:id="5"/>
            <w:commentRangeStart w:id="6"/>
            <w:r w:rsidRPr="00DE68A1">
              <w:rPr>
                <w:rFonts w:asciiTheme="minorHAnsi" w:hAnsiTheme="minorHAnsi" w:cstheme="minorHAnsi"/>
                <w:color w:val="000000"/>
                <w:sz w:val="18"/>
                <w:szCs w:val="18"/>
              </w:rPr>
              <w:t>37</w:t>
            </w:r>
            <w:r w:rsidR="003E6E7C">
              <w:rPr>
                <w:rFonts w:asciiTheme="minorHAnsi" w:hAnsiTheme="minorHAnsi" w:cstheme="minorHAnsi"/>
                <w:color w:val="000000"/>
                <w:sz w:val="18"/>
                <w:szCs w:val="18"/>
              </w:rPr>
              <w:t>5</w:t>
            </w:r>
            <w:commentRangeEnd w:id="5"/>
            <w:r w:rsidR="003E6E7C" w:rsidRPr="00DE68A1">
              <w:rPr>
                <w:rStyle w:val="CommentReference"/>
                <w:rFonts w:asciiTheme="minorHAnsi" w:hAnsiTheme="minorHAnsi" w:cstheme="minorHAnsi"/>
                <w:color w:val="000000"/>
                <w:sz w:val="18"/>
                <w:szCs w:val="18"/>
              </w:rPr>
              <w:commentReference w:id="5"/>
            </w:r>
            <w:commentRangeEnd w:id="6"/>
            <w:r w:rsidR="00106DC8">
              <w:rPr>
                <w:rStyle w:val="CommentReference"/>
              </w:rPr>
              <w:commentReference w:id="6"/>
            </w:r>
          </w:p>
        </w:tc>
      </w:tr>
      <w:tr w:rsidR="00FC0E27" w:rsidRPr="00DE68A1" w14:paraId="52E4F770" w14:textId="77777777" w:rsidTr="00E63223">
        <w:trPr>
          <w:trHeight w:val="275"/>
        </w:trPr>
        <w:tc>
          <w:tcPr>
            <w:tcW w:w="8363" w:type="dxa"/>
            <w:gridSpan w:val="4"/>
            <w:tcBorders>
              <w:top w:val="single" w:sz="4" w:space="0" w:color="auto"/>
              <w:left w:val="single" w:sz="8" w:space="0" w:color="auto"/>
              <w:bottom w:val="single" w:sz="4" w:space="0" w:color="auto"/>
              <w:right w:val="single" w:sz="8" w:space="0" w:color="000000"/>
            </w:tcBorders>
            <w:noWrap/>
            <w:vAlign w:val="bottom"/>
            <w:hideMark/>
          </w:tcPr>
          <w:p w14:paraId="69A0A4F3" w14:textId="77777777" w:rsidR="00FC0E27" w:rsidRPr="00DE68A1" w:rsidRDefault="00FC0E27" w:rsidP="00FC0E2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r>
      <w:tr w:rsidR="00FC0E27" w:rsidRPr="00DE68A1" w14:paraId="28D1D8F2" w14:textId="77777777" w:rsidTr="00E63223">
        <w:trPr>
          <w:trHeight w:val="275"/>
        </w:trPr>
        <w:tc>
          <w:tcPr>
            <w:tcW w:w="6378" w:type="dxa"/>
            <w:gridSpan w:val="3"/>
            <w:tcBorders>
              <w:top w:val="single" w:sz="4" w:space="0" w:color="auto"/>
              <w:left w:val="single" w:sz="8" w:space="0" w:color="auto"/>
              <w:bottom w:val="single" w:sz="4" w:space="0" w:color="auto"/>
              <w:right w:val="single" w:sz="4" w:space="0" w:color="000000"/>
            </w:tcBorders>
            <w:noWrap/>
            <w:vAlign w:val="bottom"/>
            <w:hideMark/>
          </w:tcPr>
          <w:p w14:paraId="34F55283"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Total Risk Weighted Exposure</w:t>
            </w:r>
          </w:p>
        </w:tc>
        <w:tc>
          <w:tcPr>
            <w:tcW w:w="1985" w:type="dxa"/>
            <w:tcBorders>
              <w:top w:val="nil"/>
              <w:left w:val="nil"/>
              <w:bottom w:val="single" w:sz="4" w:space="0" w:color="auto"/>
              <w:right w:val="single" w:sz="8" w:space="0" w:color="auto"/>
            </w:tcBorders>
            <w:noWrap/>
            <w:vAlign w:val="bottom"/>
            <w:hideMark/>
          </w:tcPr>
          <w:p w14:paraId="426B48BA" w14:textId="70D5C553" w:rsidR="00FC0E27" w:rsidRPr="00DE68A1" w:rsidRDefault="0028083E"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656</w:t>
            </w:r>
            <w:r w:rsidR="003047C2">
              <w:rPr>
                <w:rFonts w:asciiTheme="minorHAnsi" w:hAnsiTheme="minorHAnsi" w:cstheme="minorHAnsi"/>
                <w:color w:val="000000"/>
                <w:sz w:val="18"/>
                <w:szCs w:val="18"/>
              </w:rPr>
              <w:t>,</w:t>
            </w:r>
            <w:r w:rsidRPr="00DE68A1">
              <w:rPr>
                <w:rFonts w:asciiTheme="minorHAnsi" w:hAnsiTheme="minorHAnsi" w:cstheme="minorHAnsi"/>
                <w:color w:val="000000"/>
                <w:sz w:val="18"/>
                <w:szCs w:val="18"/>
              </w:rPr>
              <w:t>112</w:t>
            </w:r>
          </w:p>
        </w:tc>
      </w:tr>
      <w:tr w:rsidR="00FC0E27" w:rsidRPr="00DE68A1" w14:paraId="5B3C43BD" w14:textId="77777777" w:rsidTr="00E63223">
        <w:trPr>
          <w:trHeight w:val="275"/>
        </w:trPr>
        <w:tc>
          <w:tcPr>
            <w:tcW w:w="6378" w:type="dxa"/>
            <w:gridSpan w:val="3"/>
            <w:tcBorders>
              <w:top w:val="single" w:sz="4" w:space="0" w:color="auto"/>
              <w:left w:val="single" w:sz="8" w:space="0" w:color="auto"/>
              <w:bottom w:val="single" w:sz="4" w:space="0" w:color="auto"/>
              <w:right w:val="single" w:sz="4" w:space="0" w:color="000000"/>
            </w:tcBorders>
            <w:noWrap/>
            <w:vAlign w:val="bottom"/>
            <w:hideMark/>
          </w:tcPr>
          <w:p w14:paraId="157C796F" w14:textId="5DEB9070"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Total Min Capital requirement (Cr Risk + Mkt Risk + Op Risk)</w:t>
            </w:r>
          </w:p>
        </w:tc>
        <w:tc>
          <w:tcPr>
            <w:tcW w:w="1985" w:type="dxa"/>
            <w:tcBorders>
              <w:top w:val="nil"/>
              <w:left w:val="nil"/>
              <w:bottom w:val="single" w:sz="4" w:space="0" w:color="auto"/>
              <w:right w:val="single" w:sz="8" w:space="0" w:color="auto"/>
            </w:tcBorders>
            <w:noWrap/>
            <w:vAlign w:val="bottom"/>
            <w:hideMark/>
          </w:tcPr>
          <w:p w14:paraId="634B4FAB" w14:textId="53FFF477" w:rsidR="00FC0E27" w:rsidRPr="00DE68A1" w:rsidRDefault="0028083E"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85</w:t>
            </w:r>
            <w:r w:rsidR="003047C2">
              <w:rPr>
                <w:rFonts w:asciiTheme="minorHAnsi" w:hAnsiTheme="minorHAnsi" w:cstheme="minorHAnsi"/>
                <w:color w:val="000000"/>
                <w:sz w:val="18"/>
                <w:szCs w:val="18"/>
              </w:rPr>
              <w:t>,</w:t>
            </w:r>
            <w:r w:rsidRPr="00DE68A1">
              <w:rPr>
                <w:rFonts w:asciiTheme="minorHAnsi" w:hAnsiTheme="minorHAnsi" w:cstheme="minorHAnsi"/>
                <w:color w:val="000000"/>
                <w:sz w:val="18"/>
                <w:szCs w:val="18"/>
              </w:rPr>
              <w:t>295</w:t>
            </w:r>
          </w:p>
        </w:tc>
      </w:tr>
      <w:tr w:rsidR="00FC0E27" w:rsidRPr="00DE68A1" w14:paraId="326D36C9" w14:textId="77777777" w:rsidTr="00E63223">
        <w:trPr>
          <w:trHeight w:val="275"/>
        </w:trPr>
        <w:tc>
          <w:tcPr>
            <w:tcW w:w="8363" w:type="dxa"/>
            <w:gridSpan w:val="4"/>
            <w:tcBorders>
              <w:top w:val="single" w:sz="4" w:space="0" w:color="auto"/>
              <w:left w:val="single" w:sz="8" w:space="0" w:color="auto"/>
              <w:bottom w:val="single" w:sz="4" w:space="0" w:color="auto"/>
              <w:right w:val="single" w:sz="8" w:space="0" w:color="000000"/>
            </w:tcBorders>
            <w:noWrap/>
            <w:vAlign w:val="bottom"/>
            <w:hideMark/>
          </w:tcPr>
          <w:p w14:paraId="31FF83BA" w14:textId="77777777" w:rsidR="00FC0E27" w:rsidRPr="00DE68A1" w:rsidRDefault="00FC0E27" w:rsidP="00FC0E2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r>
      <w:tr w:rsidR="00FC0E27" w:rsidRPr="00DE68A1" w14:paraId="03B9B04F" w14:textId="77777777" w:rsidTr="00E63223">
        <w:trPr>
          <w:trHeight w:val="275"/>
        </w:trPr>
        <w:tc>
          <w:tcPr>
            <w:tcW w:w="6378" w:type="dxa"/>
            <w:gridSpan w:val="3"/>
            <w:tcBorders>
              <w:top w:val="single" w:sz="4" w:space="0" w:color="auto"/>
              <w:left w:val="single" w:sz="8" w:space="0" w:color="auto"/>
              <w:bottom w:val="single" w:sz="4" w:space="0" w:color="auto"/>
              <w:right w:val="single" w:sz="4" w:space="0" w:color="000000"/>
            </w:tcBorders>
            <w:noWrap/>
            <w:vAlign w:val="bottom"/>
            <w:hideMark/>
          </w:tcPr>
          <w:p w14:paraId="22DB8A0C"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Eligible Tier - 1 Capital</w:t>
            </w:r>
          </w:p>
        </w:tc>
        <w:tc>
          <w:tcPr>
            <w:tcW w:w="1985" w:type="dxa"/>
            <w:tcBorders>
              <w:top w:val="nil"/>
              <w:left w:val="nil"/>
              <w:bottom w:val="single" w:sz="4" w:space="0" w:color="auto"/>
              <w:right w:val="single" w:sz="8" w:space="0" w:color="auto"/>
            </w:tcBorders>
            <w:noWrap/>
            <w:vAlign w:val="bottom"/>
            <w:hideMark/>
          </w:tcPr>
          <w:p w14:paraId="5B4BBDB5" w14:textId="1D52680D" w:rsidR="00FC0E27" w:rsidRPr="00DE68A1" w:rsidRDefault="0028083E"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355</w:t>
            </w:r>
            <w:r w:rsidR="003047C2">
              <w:rPr>
                <w:rFonts w:asciiTheme="minorHAnsi" w:hAnsiTheme="minorHAnsi" w:cstheme="minorHAnsi"/>
                <w:color w:val="000000"/>
                <w:sz w:val="18"/>
                <w:szCs w:val="18"/>
              </w:rPr>
              <w:t>,</w:t>
            </w:r>
            <w:r w:rsidRPr="00DE68A1">
              <w:rPr>
                <w:rFonts w:asciiTheme="minorHAnsi" w:hAnsiTheme="minorHAnsi" w:cstheme="minorHAnsi"/>
                <w:color w:val="000000"/>
                <w:sz w:val="18"/>
                <w:szCs w:val="18"/>
              </w:rPr>
              <w:t>600</w:t>
            </w:r>
          </w:p>
        </w:tc>
      </w:tr>
      <w:tr w:rsidR="00FC0E27" w:rsidRPr="00DE68A1" w14:paraId="6EA97DAC" w14:textId="77777777" w:rsidTr="00E63223">
        <w:trPr>
          <w:trHeight w:val="275"/>
        </w:trPr>
        <w:tc>
          <w:tcPr>
            <w:tcW w:w="6378" w:type="dxa"/>
            <w:gridSpan w:val="3"/>
            <w:tcBorders>
              <w:top w:val="single" w:sz="4" w:space="0" w:color="auto"/>
              <w:left w:val="single" w:sz="8" w:space="0" w:color="auto"/>
              <w:bottom w:val="single" w:sz="4" w:space="0" w:color="auto"/>
              <w:right w:val="single" w:sz="4" w:space="0" w:color="000000"/>
            </w:tcBorders>
            <w:noWrap/>
            <w:vAlign w:val="bottom"/>
            <w:hideMark/>
          </w:tcPr>
          <w:p w14:paraId="05AD7B3A"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Eligible Tier - 2 Capital</w:t>
            </w:r>
          </w:p>
        </w:tc>
        <w:tc>
          <w:tcPr>
            <w:tcW w:w="1985" w:type="dxa"/>
            <w:tcBorders>
              <w:top w:val="nil"/>
              <w:left w:val="nil"/>
              <w:bottom w:val="single" w:sz="4" w:space="0" w:color="auto"/>
              <w:right w:val="single" w:sz="8" w:space="0" w:color="auto"/>
            </w:tcBorders>
            <w:noWrap/>
            <w:vAlign w:val="bottom"/>
            <w:hideMark/>
          </w:tcPr>
          <w:p w14:paraId="6B5D2035" w14:textId="7D6E86FF" w:rsidR="00FC0E27" w:rsidRPr="00DE68A1" w:rsidRDefault="0028083E"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7</w:t>
            </w:r>
            <w:r w:rsidR="003047C2">
              <w:rPr>
                <w:rFonts w:asciiTheme="minorHAnsi" w:hAnsiTheme="minorHAnsi" w:cstheme="minorHAnsi"/>
                <w:color w:val="000000"/>
                <w:sz w:val="18"/>
                <w:szCs w:val="18"/>
              </w:rPr>
              <w:t>,</w:t>
            </w:r>
            <w:r w:rsidRPr="00DE68A1">
              <w:rPr>
                <w:rFonts w:asciiTheme="minorHAnsi" w:hAnsiTheme="minorHAnsi" w:cstheme="minorHAnsi"/>
                <w:color w:val="000000"/>
                <w:sz w:val="18"/>
                <w:szCs w:val="18"/>
              </w:rPr>
              <w:t>812</w:t>
            </w:r>
          </w:p>
        </w:tc>
      </w:tr>
      <w:tr w:rsidR="00FC0E27" w:rsidRPr="00DE68A1" w14:paraId="60260F31" w14:textId="77777777" w:rsidTr="00E63223">
        <w:trPr>
          <w:trHeight w:val="275"/>
        </w:trPr>
        <w:tc>
          <w:tcPr>
            <w:tcW w:w="6378" w:type="dxa"/>
            <w:gridSpan w:val="3"/>
            <w:tcBorders>
              <w:top w:val="single" w:sz="4" w:space="0" w:color="auto"/>
              <w:left w:val="single" w:sz="8" w:space="0" w:color="auto"/>
              <w:bottom w:val="single" w:sz="4" w:space="0" w:color="auto"/>
              <w:right w:val="single" w:sz="4" w:space="0" w:color="000000"/>
            </w:tcBorders>
            <w:noWrap/>
            <w:vAlign w:val="bottom"/>
            <w:hideMark/>
          </w:tcPr>
          <w:p w14:paraId="77472964"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Total Eligible Capital</w:t>
            </w:r>
          </w:p>
        </w:tc>
        <w:tc>
          <w:tcPr>
            <w:tcW w:w="1985" w:type="dxa"/>
            <w:tcBorders>
              <w:top w:val="nil"/>
              <w:left w:val="nil"/>
              <w:bottom w:val="single" w:sz="4" w:space="0" w:color="auto"/>
              <w:right w:val="single" w:sz="8" w:space="0" w:color="auto"/>
            </w:tcBorders>
            <w:noWrap/>
            <w:vAlign w:val="bottom"/>
            <w:hideMark/>
          </w:tcPr>
          <w:p w14:paraId="000BCF8D" w14:textId="143DE165" w:rsidR="00FC0E27" w:rsidRPr="00DE68A1" w:rsidRDefault="0028083E"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363</w:t>
            </w:r>
            <w:r w:rsidR="003047C2">
              <w:rPr>
                <w:rFonts w:asciiTheme="minorHAnsi" w:hAnsiTheme="minorHAnsi" w:cstheme="minorHAnsi"/>
                <w:color w:val="000000"/>
                <w:sz w:val="18"/>
                <w:szCs w:val="18"/>
              </w:rPr>
              <w:t>,</w:t>
            </w:r>
            <w:r w:rsidRPr="00DE68A1">
              <w:rPr>
                <w:rFonts w:asciiTheme="minorHAnsi" w:hAnsiTheme="minorHAnsi" w:cstheme="minorHAnsi"/>
                <w:color w:val="000000"/>
                <w:sz w:val="18"/>
                <w:szCs w:val="18"/>
              </w:rPr>
              <w:t>412</w:t>
            </w:r>
          </w:p>
        </w:tc>
      </w:tr>
      <w:tr w:rsidR="00FC0E27" w:rsidRPr="00DE68A1" w14:paraId="7552B6D5" w14:textId="77777777" w:rsidTr="00E63223">
        <w:trPr>
          <w:trHeight w:val="275"/>
        </w:trPr>
        <w:tc>
          <w:tcPr>
            <w:tcW w:w="6378" w:type="dxa"/>
            <w:gridSpan w:val="3"/>
            <w:tcBorders>
              <w:top w:val="single" w:sz="4" w:space="0" w:color="auto"/>
              <w:left w:val="single" w:sz="8" w:space="0" w:color="auto"/>
              <w:bottom w:val="single" w:sz="4" w:space="0" w:color="auto"/>
              <w:right w:val="single" w:sz="4" w:space="0" w:color="000000"/>
            </w:tcBorders>
            <w:noWrap/>
            <w:vAlign w:val="bottom"/>
            <w:hideMark/>
          </w:tcPr>
          <w:p w14:paraId="2F21A2C5"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Unused Capital </w:t>
            </w:r>
          </w:p>
        </w:tc>
        <w:tc>
          <w:tcPr>
            <w:tcW w:w="1985" w:type="dxa"/>
            <w:tcBorders>
              <w:top w:val="nil"/>
              <w:left w:val="nil"/>
              <w:bottom w:val="single" w:sz="4" w:space="0" w:color="auto"/>
              <w:right w:val="single" w:sz="8" w:space="0" w:color="auto"/>
            </w:tcBorders>
            <w:noWrap/>
            <w:vAlign w:val="bottom"/>
            <w:hideMark/>
          </w:tcPr>
          <w:p w14:paraId="386E2A1F" w14:textId="24FCA3CE" w:rsidR="00FC0E27" w:rsidRPr="00DE68A1" w:rsidRDefault="0028083E"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278</w:t>
            </w:r>
            <w:r w:rsidR="003047C2">
              <w:rPr>
                <w:rFonts w:asciiTheme="minorHAnsi" w:hAnsiTheme="minorHAnsi" w:cstheme="minorHAnsi"/>
                <w:color w:val="000000"/>
                <w:sz w:val="18"/>
                <w:szCs w:val="18"/>
              </w:rPr>
              <w:t>,</w:t>
            </w:r>
            <w:r w:rsidRPr="00DE68A1">
              <w:rPr>
                <w:rFonts w:asciiTheme="minorHAnsi" w:hAnsiTheme="minorHAnsi" w:cstheme="minorHAnsi"/>
                <w:color w:val="000000"/>
                <w:sz w:val="18"/>
                <w:szCs w:val="18"/>
              </w:rPr>
              <w:t>117</w:t>
            </w:r>
          </w:p>
        </w:tc>
      </w:tr>
      <w:tr w:rsidR="00FC0E27" w:rsidRPr="00DE68A1" w14:paraId="1D15B158" w14:textId="77777777" w:rsidTr="00E63223">
        <w:trPr>
          <w:trHeight w:val="275"/>
        </w:trPr>
        <w:tc>
          <w:tcPr>
            <w:tcW w:w="8363" w:type="dxa"/>
            <w:gridSpan w:val="4"/>
            <w:tcBorders>
              <w:top w:val="single" w:sz="4" w:space="0" w:color="auto"/>
              <w:left w:val="single" w:sz="8" w:space="0" w:color="auto"/>
              <w:bottom w:val="single" w:sz="4" w:space="0" w:color="auto"/>
              <w:right w:val="single" w:sz="8" w:space="0" w:color="000000"/>
            </w:tcBorders>
            <w:noWrap/>
            <w:vAlign w:val="bottom"/>
            <w:hideMark/>
          </w:tcPr>
          <w:p w14:paraId="013D05D7" w14:textId="77777777" w:rsidR="00FC0E27" w:rsidRPr="00DE68A1" w:rsidRDefault="00FC0E27" w:rsidP="00FC0E2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r>
      <w:tr w:rsidR="00FC0E27" w:rsidRPr="00DE68A1" w14:paraId="37089EC4" w14:textId="77777777" w:rsidTr="00E63223">
        <w:trPr>
          <w:trHeight w:val="275"/>
        </w:trPr>
        <w:tc>
          <w:tcPr>
            <w:tcW w:w="8363" w:type="dxa"/>
            <w:gridSpan w:val="4"/>
            <w:tcBorders>
              <w:top w:val="single" w:sz="4" w:space="0" w:color="auto"/>
              <w:left w:val="single" w:sz="8" w:space="0" w:color="auto"/>
              <w:bottom w:val="single" w:sz="4" w:space="0" w:color="auto"/>
              <w:right w:val="single" w:sz="8" w:space="0" w:color="000000"/>
            </w:tcBorders>
            <w:noWrap/>
            <w:vAlign w:val="bottom"/>
            <w:hideMark/>
          </w:tcPr>
          <w:p w14:paraId="64414533" w14:textId="77777777" w:rsidR="00FC0E27" w:rsidRPr="00DE68A1" w:rsidRDefault="00FC0E27" w:rsidP="00FC0E2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r>
      <w:tr w:rsidR="00FC0E27" w:rsidRPr="00DE68A1" w14:paraId="48B90F0D" w14:textId="77777777" w:rsidTr="00E63223">
        <w:trPr>
          <w:trHeight w:val="275"/>
        </w:trPr>
        <w:tc>
          <w:tcPr>
            <w:tcW w:w="6378" w:type="dxa"/>
            <w:gridSpan w:val="3"/>
            <w:tcBorders>
              <w:top w:val="single" w:sz="4" w:space="0" w:color="auto"/>
              <w:left w:val="single" w:sz="8" w:space="0" w:color="auto"/>
              <w:bottom w:val="single" w:sz="4" w:space="0" w:color="auto"/>
              <w:right w:val="single" w:sz="4" w:space="0" w:color="000000"/>
            </w:tcBorders>
            <w:noWrap/>
            <w:vAlign w:val="bottom"/>
            <w:hideMark/>
          </w:tcPr>
          <w:p w14:paraId="60BF9048"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Capital Adequacy Ratio as per Basel - III</w:t>
            </w:r>
          </w:p>
        </w:tc>
        <w:tc>
          <w:tcPr>
            <w:tcW w:w="1985" w:type="dxa"/>
            <w:tcBorders>
              <w:top w:val="nil"/>
              <w:left w:val="nil"/>
              <w:bottom w:val="single" w:sz="4" w:space="0" w:color="auto"/>
              <w:right w:val="single" w:sz="8" w:space="0" w:color="auto"/>
            </w:tcBorders>
            <w:noWrap/>
            <w:vAlign w:val="bottom"/>
            <w:hideMark/>
          </w:tcPr>
          <w:p w14:paraId="300EF425" w14:textId="59CE487D" w:rsidR="00FC0E27" w:rsidRPr="00DE68A1" w:rsidRDefault="0028083E"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55.39</w:t>
            </w:r>
            <w:r w:rsidR="00FC0E27" w:rsidRPr="00DE68A1">
              <w:rPr>
                <w:rFonts w:asciiTheme="minorHAnsi" w:hAnsiTheme="minorHAnsi" w:cstheme="minorHAnsi"/>
                <w:color w:val="000000"/>
                <w:sz w:val="18"/>
                <w:szCs w:val="18"/>
              </w:rPr>
              <w:t>%</w:t>
            </w:r>
          </w:p>
        </w:tc>
      </w:tr>
      <w:tr w:rsidR="00FC0E27" w:rsidRPr="00DE68A1" w14:paraId="5556C9C5" w14:textId="77777777" w:rsidTr="00E63223">
        <w:trPr>
          <w:trHeight w:val="275"/>
        </w:trPr>
        <w:tc>
          <w:tcPr>
            <w:tcW w:w="6378" w:type="dxa"/>
            <w:gridSpan w:val="3"/>
            <w:tcBorders>
              <w:top w:val="single" w:sz="4" w:space="0" w:color="auto"/>
              <w:left w:val="single" w:sz="8" w:space="0" w:color="auto"/>
              <w:bottom w:val="single" w:sz="4" w:space="0" w:color="auto"/>
              <w:right w:val="single" w:sz="4" w:space="0" w:color="000000"/>
            </w:tcBorders>
            <w:noWrap/>
            <w:vAlign w:val="bottom"/>
            <w:hideMark/>
          </w:tcPr>
          <w:p w14:paraId="7E8336DE"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Capital Adequacy Ratio based on Tier - 1 capital</w:t>
            </w:r>
          </w:p>
        </w:tc>
        <w:tc>
          <w:tcPr>
            <w:tcW w:w="1985" w:type="dxa"/>
            <w:tcBorders>
              <w:top w:val="nil"/>
              <w:left w:val="nil"/>
              <w:bottom w:val="single" w:sz="4" w:space="0" w:color="auto"/>
              <w:right w:val="single" w:sz="8" w:space="0" w:color="auto"/>
            </w:tcBorders>
            <w:noWrap/>
            <w:vAlign w:val="bottom"/>
            <w:hideMark/>
          </w:tcPr>
          <w:p w14:paraId="0ADCD7FD" w14:textId="59BFD7B3" w:rsidR="00FC0E27" w:rsidRPr="00DE68A1" w:rsidRDefault="0028083E"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54.20</w:t>
            </w:r>
            <w:r w:rsidR="00FC0E27" w:rsidRPr="00DE68A1">
              <w:rPr>
                <w:rFonts w:asciiTheme="minorHAnsi" w:hAnsiTheme="minorHAnsi" w:cstheme="minorHAnsi"/>
                <w:color w:val="000000"/>
                <w:sz w:val="18"/>
                <w:szCs w:val="18"/>
              </w:rPr>
              <w:t>%</w:t>
            </w:r>
          </w:p>
        </w:tc>
      </w:tr>
      <w:tr w:rsidR="00FC0E27" w:rsidRPr="00DE68A1" w14:paraId="5BADDCA6" w14:textId="77777777" w:rsidTr="00E63223">
        <w:trPr>
          <w:trHeight w:val="289"/>
        </w:trPr>
        <w:tc>
          <w:tcPr>
            <w:tcW w:w="6378" w:type="dxa"/>
            <w:gridSpan w:val="3"/>
            <w:tcBorders>
              <w:top w:val="single" w:sz="4" w:space="0" w:color="auto"/>
              <w:left w:val="single" w:sz="8" w:space="0" w:color="auto"/>
              <w:bottom w:val="single" w:sz="8" w:space="0" w:color="auto"/>
              <w:right w:val="single" w:sz="4" w:space="0" w:color="000000"/>
            </w:tcBorders>
            <w:noWrap/>
            <w:vAlign w:val="bottom"/>
            <w:hideMark/>
          </w:tcPr>
          <w:p w14:paraId="7D8761A1" w14:textId="77777777" w:rsidR="00FC0E27" w:rsidRPr="00DE68A1" w:rsidRDefault="00FC0E27" w:rsidP="00FC0E2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CET - 1 Capital Adequacy Ratio</w:t>
            </w:r>
          </w:p>
        </w:tc>
        <w:tc>
          <w:tcPr>
            <w:tcW w:w="1985" w:type="dxa"/>
            <w:tcBorders>
              <w:top w:val="nil"/>
              <w:left w:val="nil"/>
              <w:bottom w:val="single" w:sz="8" w:space="0" w:color="auto"/>
              <w:right w:val="single" w:sz="8" w:space="0" w:color="auto"/>
            </w:tcBorders>
            <w:noWrap/>
            <w:vAlign w:val="bottom"/>
            <w:hideMark/>
          </w:tcPr>
          <w:p w14:paraId="4DB9603D" w14:textId="2FC2C445" w:rsidR="00FC0E27" w:rsidRPr="00DE68A1" w:rsidRDefault="0028083E" w:rsidP="00FC0E2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54.20</w:t>
            </w:r>
            <w:r w:rsidR="00FC0E27" w:rsidRPr="00DE68A1">
              <w:rPr>
                <w:rFonts w:asciiTheme="minorHAnsi" w:hAnsiTheme="minorHAnsi" w:cstheme="minorHAnsi"/>
                <w:color w:val="000000"/>
                <w:sz w:val="18"/>
                <w:szCs w:val="18"/>
              </w:rPr>
              <w:t>%</w:t>
            </w:r>
          </w:p>
        </w:tc>
      </w:tr>
    </w:tbl>
    <w:p w14:paraId="207D5487" w14:textId="1702AC3A" w:rsidR="004C5E42" w:rsidRPr="00DE68A1" w:rsidRDefault="005C1B48" w:rsidP="00E8468D">
      <w:pPr>
        <w:bidi w:val="0"/>
        <w:jc w:val="both"/>
      </w:pPr>
      <w:r w:rsidRPr="00DE68A1">
        <w:rPr>
          <w:b/>
        </w:rPr>
        <w:lastRenderedPageBreak/>
        <w:t>Financial Leverage Ratio:</w:t>
      </w:r>
      <w:r w:rsidR="004C5E42" w:rsidRPr="00DE68A1">
        <w:t xml:space="preserve"> The Basel III framework introduced a simple, transparent, non-</w:t>
      </w:r>
      <w:r w:rsidR="00BF0834" w:rsidRPr="00DE68A1">
        <w:t>risk-based</w:t>
      </w:r>
      <w:r w:rsidR="004C5E42" w:rsidRPr="00DE68A1">
        <w:t xml:space="preserve"> leverage ratio to act as a credible supplementary measure to the risk-based capital requirements. The leverage ratio is intended to (1) restrict the build-up of leverage in the banking sector to avoid destabilizing deleveraging processes that can damage the broader financial system and the economy; and (2) reinforce the risk-based requirements with a simple, non-risk based “backstop” measure. </w:t>
      </w:r>
    </w:p>
    <w:p w14:paraId="0320948A" w14:textId="77777777" w:rsidR="004C5E42" w:rsidRPr="00DE68A1" w:rsidRDefault="004C5E42" w:rsidP="002B3745">
      <w:pPr>
        <w:bidi w:val="0"/>
        <w:jc w:val="both"/>
      </w:pPr>
    </w:p>
    <w:p w14:paraId="24B781FD" w14:textId="0A0C5BFE" w:rsidR="00A04C78" w:rsidRPr="00DE68A1" w:rsidRDefault="004C5E42" w:rsidP="00D34E97">
      <w:pPr>
        <w:bidi w:val="0"/>
        <w:spacing w:before="240" w:after="200" w:line="276" w:lineRule="auto"/>
        <w:jc w:val="both"/>
        <w:rPr>
          <w:rFonts w:asciiTheme="minorHAnsi" w:eastAsiaTheme="minorEastAsia" w:hAnsiTheme="minorHAnsi" w:cstheme="minorBidi"/>
          <w:b/>
          <w:bCs/>
          <w:sz w:val="22"/>
          <w:szCs w:val="22"/>
        </w:rPr>
      </w:pPr>
      <w:r w:rsidRPr="00DE68A1">
        <w:t>The Basel Committee is of the view that a simple leverage ratio framework is critical and complementary to the risk-based capital framework; and a credible leverage ratio is one that ensures broad and adequate capture of both the on- and off-balance sheet sources of banks’ leverage. The Basel III leverage ratio is defined as the capital measure (the numerator, Tier I capital) divided by the exposure measure (the denominator), with this ratio expressed as a percentage: Leverage ratio = Capital measure/Exposure measure (%). For Kuwait the minimum regulatory leverage ratio is 3%.</w:t>
      </w:r>
    </w:p>
    <w:p w14:paraId="5B54398C" w14:textId="481ACAF1" w:rsidR="005C1B48" w:rsidRPr="00DE68A1" w:rsidRDefault="004C5E42" w:rsidP="00A04C78">
      <w:pPr>
        <w:bidi w:val="0"/>
        <w:spacing w:before="240" w:after="200" w:line="276" w:lineRule="auto"/>
        <w:jc w:val="center"/>
        <w:rPr>
          <w:rFonts w:asciiTheme="minorHAnsi" w:eastAsiaTheme="minorEastAsia" w:hAnsiTheme="minorHAnsi" w:cstheme="minorBidi"/>
          <w:b/>
          <w:bCs/>
          <w:sz w:val="22"/>
          <w:szCs w:val="22"/>
        </w:rPr>
      </w:pPr>
      <w:r w:rsidRPr="00DE68A1">
        <w:rPr>
          <w:rFonts w:asciiTheme="minorHAnsi" w:eastAsiaTheme="minorEastAsia" w:hAnsiTheme="minorHAnsi" w:cstheme="minorBidi"/>
          <w:b/>
          <w:bCs/>
          <w:sz w:val="22"/>
          <w:szCs w:val="22"/>
        </w:rPr>
        <w:t xml:space="preserve">IBK Leverage Ratio </w:t>
      </w:r>
      <w:r w:rsidR="005C1B48" w:rsidRPr="00DE68A1">
        <w:rPr>
          <w:rFonts w:asciiTheme="minorHAnsi" w:eastAsiaTheme="minorEastAsia" w:hAnsiTheme="minorHAnsi" w:cstheme="minorBidi"/>
          <w:b/>
          <w:bCs/>
          <w:sz w:val="22"/>
          <w:szCs w:val="22"/>
        </w:rPr>
        <w:t>December 31</w:t>
      </w:r>
      <w:r w:rsidR="001D2EA5" w:rsidRPr="00DE68A1">
        <w:rPr>
          <w:rFonts w:asciiTheme="minorHAnsi" w:eastAsiaTheme="minorEastAsia" w:hAnsiTheme="minorHAnsi" w:cstheme="minorBidi"/>
          <w:b/>
          <w:bCs/>
          <w:sz w:val="22"/>
          <w:szCs w:val="22"/>
        </w:rPr>
        <w:t>,</w:t>
      </w:r>
      <w:r w:rsidR="005C1B48" w:rsidRPr="00DE68A1">
        <w:rPr>
          <w:rFonts w:asciiTheme="minorHAnsi" w:eastAsiaTheme="minorEastAsia" w:hAnsiTheme="minorHAnsi" w:cstheme="minorBidi"/>
          <w:b/>
          <w:bCs/>
          <w:sz w:val="22"/>
          <w:szCs w:val="22"/>
        </w:rPr>
        <w:t xml:space="preserve"> </w:t>
      </w:r>
      <w:r w:rsidR="00E01875" w:rsidRPr="00DE68A1">
        <w:rPr>
          <w:rFonts w:asciiTheme="minorHAnsi" w:eastAsiaTheme="minorEastAsia" w:hAnsiTheme="minorHAnsi" w:cstheme="minorBidi"/>
          <w:b/>
          <w:bCs/>
          <w:sz w:val="22"/>
          <w:szCs w:val="22"/>
        </w:rPr>
        <w:t>202</w:t>
      </w:r>
      <w:r w:rsidR="00072896" w:rsidRPr="00DE68A1">
        <w:rPr>
          <w:rFonts w:asciiTheme="minorHAnsi" w:eastAsiaTheme="minorEastAsia" w:hAnsiTheme="minorHAnsi" w:cstheme="minorBidi"/>
          <w:b/>
          <w:bCs/>
          <w:sz w:val="22"/>
          <w:szCs w:val="22"/>
        </w:rPr>
        <w:t>5</w:t>
      </w:r>
      <w:r w:rsidR="00BC158C" w:rsidRPr="00DE68A1">
        <w:rPr>
          <w:rFonts w:asciiTheme="minorHAnsi" w:eastAsiaTheme="minorEastAsia" w:hAnsiTheme="minorHAnsi" w:cstheme="minorBidi"/>
          <w:b/>
          <w:bCs/>
          <w:sz w:val="22"/>
          <w:szCs w:val="22"/>
        </w:rPr>
        <w:t xml:space="preserve"> </w:t>
      </w:r>
      <w:r w:rsidR="005C1B48" w:rsidRPr="00DE68A1">
        <w:rPr>
          <w:rFonts w:asciiTheme="minorHAnsi" w:eastAsiaTheme="minorEastAsia" w:hAnsiTheme="minorHAnsi" w:cstheme="minorBidi"/>
          <w:b/>
          <w:bCs/>
          <w:sz w:val="22"/>
          <w:szCs w:val="22"/>
        </w:rPr>
        <w:t>-</w:t>
      </w:r>
      <w:r w:rsidR="002A1769" w:rsidRPr="00DE68A1">
        <w:rPr>
          <w:rFonts w:asciiTheme="minorHAnsi" w:eastAsiaTheme="minorEastAsia" w:hAnsiTheme="minorHAnsi" w:cstheme="minorBidi"/>
          <w:b/>
          <w:bCs/>
          <w:sz w:val="22"/>
          <w:szCs w:val="22"/>
        </w:rPr>
        <w:t xml:space="preserve"> </w:t>
      </w:r>
      <w:r w:rsidR="005C1B48" w:rsidRPr="00DE68A1">
        <w:rPr>
          <w:rFonts w:asciiTheme="minorHAnsi" w:eastAsiaTheme="minorEastAsia" w:hAnsiTheme="minorHAnsi" w:cstheme="minorBidi"/>
          <w:b/>
          <w:bCs/>
          <w:sz w:val="22"/>
          <w:szCs w:val="22"/>
        </w:rPr>
        <w:t>Consolidated</w:t>
      </w:r>
    </w:p>
    <w:tbl>
      <w:tblPr>
        <w:tblStyle w:val="TableGrid"/>
        <w:tblW w:w="6733" w:type="dxa"/>
        <w:tblInd w:w="1395" w:type="dxa"/>
        <w:tblLook w:val="04A0" w:firstRow="1" w:lastRow="0" w:firstColumn="1" w:lastColumn="0" w:noHBand="0" w:noVBand="1"/>
      </w:tblPr>
      <w:tblGrid>
        <w:gridCol w:w="552"/>
        <w:gridCol w:w="4570"/>
        <w:gridCol w:w="1611"/>
      </w:tblGrid>
      <w:tr w:rsidR="00B617A7" w:rsidRPr="00DE68A1" w14:paraId="5E0DE674" w14:textId="77777777" w:rsidTr="00E915B3">
        <w:trPr>
          <w:trHeight w:val="367"/>
        </w:trPr>
        <w:tc>
          <w:tcPr>
            <w:tcW w:w="552" w:type="dxa"/>
          </w:tcPr>
          <w:p w14:paraId="4F251A52" w14:textId="77777777" w:rsidR="00B617A7" w:rsidRPr="00DE68A1" w:rsidRDefault="00B617A7" w:rsidP="00A43670">
            <w:pPr>
              <w:rPr>
                <w:rFonts w:cstheme="minorHAnsi"/>
                <w:b/>
                <w:bCs/>
                <w:sz w:val="18"/>
                <w:szCs w:val="18"/>
              </w:rPr>
            </w:pPr>
          </w:p>
        </w:tc>
        <w:tc>
          <w:tcPr>
            <w:tcW w:w="4570" w:type="dxa"/>
            <w:vAlign w:val="center"/>
          </w:tcPr>
          <w:p w14:paraId="5D6F9374" w14:textId="77777777" w:rsidR="00B617A7" w:rsidRPr="00DE68A1" w:rsidRDefault="00B617A7" w:rsidP="00A43670">
            <w:pPr>
              <w:jc w:val="center"/>
              <w:rPr>
                <w:rFonts w:cstheme="minorHAnsi"/>
                <w:b/>
                <w:bCs/>
                <w:sz w:val="18"/>
                <w:szCs w:val="18"/>
              </w:rPr>
            </w:pPr>
            <w:r w:rsidRPr="00DE68A1">
              <w:rPr>
                <w:rFonts w:ascii="Times New Roman" w:hAnsi="Times New Roman" w:cstheme="minorHAnsi"/>
                <w:b/>
                <w:bCs/>
                <w:sz w:val="18"/>
                <w:szCs w:val="18"/>
              </w:rPr>
              <w:t>Item</w:t>
            </w:r>
          </w:p>
        </w:tc>
        <w:tc>
          <w:tcPr>
            <w:tcW w:w="1611" w:type="dxa"/>
          </w:tcPr>
          <w:p w14:paraId="1C78B6EA" w14:textId="77777777" w:rsidR="00B617A7" w:rsidRPr="00DE68A1" w:rsidRDefault="00B617A7" w:rsidP="00B617A7">
            <w:pPr>
              <w:jc w:val="center"/>
              <w:rPr>
                <w:rFonts w:cstheme="minorHAnsi"/>
                <w:b/>
                <w:bCs/>
                <w:sz w:val="18"/>
                <w:szCs w:val="18"/>
              </w:rPr>
            </w:pPr>
            <w:r w:rsidRPr="00DE68A1">
              <w:rPr>
                <w:rFonts w:ascii="Times New Roman" w:hAnsi="Times New Roman" w:cstheme="minorHAnsi"/>
                <w:b/>
                <w:bCs/>
                <w:sz w:val="18"/>
                <w:szCs w:val="18"/>
              </w:rPr>
              <w:t>Leverage ratio Framework (000)</w:t>
            </w:r>
          </w:p>
        </w:tc>
      </w:tr>
      <w:tr w:rsidR="00B617A7" w:rsidRPr="00DE68A1" w14:paraId="0C96B07E" w14:textId="77777777" w:rsidTr="00E915B3">
        <w:trPr>
          <w:trHeight w:val="226"/>
        </w:trPr>
        <w:tc>
          <w:tcPr>
            <w:tcW w:w="552" w:type="dxa"/>
          </w:tcPr>
          <w:p w14:paraId="564ED9DD" w14:textId="77777777" w:rsidR="00B617A7" w:rsidRPr="00DE68A1" w:rsidRDefault="00B617A7" w:rsidP="00A43670">
            <w:pPr>
              <w:jc w:val="center"/>
              <w:rPr>
                <w:rFonts w:cstheme="minorHAnsi"/>
                <w:sz w:val="18"/>
                <w:szCs w:val="18"/>
              </w:rPr>
            </w:pPr>
          </w:p>
        </w:tc>
        <w:tc>
          <w:tcPr>
            <w:tcW w:w="4570" w:type="dxa"/>
            <w:shd w:val="clear" w:color="auto" w:fill="A6A6A6" w:themeFill="background1" w:themeFillShade="A6"/>
          </w:tcPr>
          <w:p w14:paraId="2A08D871" w14:textId="77777777" w:rsidR="00B617A7" w:rsidRPr="00DE68A1" w:rsidRDefault="00B617A7" w:rsidP="00A43670">
            <w:pPr>
              <w:jc w:val="center"/>
              <w:rPr>
                <w:rFonts w:cstheme="minorHAnsi"/>
                <w:b/>
                <w:bCs/>
                <w:sz w:val="18"/>
                <w:szCs w:val="18"/>
              </w:rPr>
            </w:pPr>
            <w:r w:rsidRPr="00DE68A1">
              <w:rPr>
                <w:rFonts w:ascii="Times New Roman" w:hAnsi="Times New Roman" w:cstheme="minorHAnsi"/>
                <w:b/>
                <w:bCs/>
                <w:sz w:val="18"/>
                <w:szCs w:val="18"/>
              </w:rPr>
              <w:t>On-balance sheet exposures</w:t>
            </w:r>
          </w:p>
        </w:tc>
        <w:tc>
          <w:tcPr>
            <w:tcW w:w="1611" w:type="dxa"/>
          </w:tcPr>
          <w:p w14:paraId="306422C5" w14:textId="77777777" w:rsidR="00B617A7" w:rsidRPr="00DE68A1" w:rsidRDefault="00B617A7" w:rsidP="00A43670">
            <w:pPr>
              <w:jc w:val="center"/>
              <w:rPr>
                <w:rFonts w:cstheme="minorHAnsi"/>
                <w:sz w:val="18"/>
                <w:szCs w:val="18"/>
              </w:rPr>
            </w:pPr>
          </w:p>
        </w:tc>
      </w:tr>
      <w:tr w:rsidR="00F27B6A" w:rsidRPr="00DE68A1" w14:paraId="183667B2" w14:textId="77777777" w:rsidTr="00E915B3">
        <w:trPr>
          <w:trHeight w:val="217"/>
        </w:trPr>
        <w:tc>
          <w:tcPr>
            <w:tcW w:w="552" w:type="dxa"/>
          </w:tcPr>
          <w:p w14:paraId="0BFD8BD9"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1.</w:t>
            </w:r>
          </w:p>
        </w:tc>
        <w:tc>
          <w:tcPr>
            <w:tcW w:w="4570" w:type="dxa"/>
          </w:tcPr>
          <w:p w14:paraId="18EAAE8B" w14:textId="3819B7A1" w:rsidR="00F27B6A" w:rsidRPr="00DE68A1" w:rsidRDefault="005C3A76" w:rsidP="00F27B6A">
            <w:pPr>
              <w:jc w:val="right"/>
              <w:rPr>
                <w:rFonts w:cstheme="minorHAnsi"/>
                <w:sz w:val="18"/>
                <w:szCs w:val="18"/>
              </w:rPr>
            </w:pPr>
            <w:r w:rsidRPr="00DE68A1">
              <w:rPr>
                <w:rFonts w:ascii="Times New Roman" w:hAnsi="Times New Roman" w:cstheme="minorHAnsi"/>
                <w:sz w:val="18"/>
                <w:szCs w:val="18"/>
              </w:rPr>
              <w:t>On balance</w:t>
            </w:r>
            <w:r w:rsidR="00F27B6A" w:rsidRPr="00DE68A1">
              <w:rPr>
                <w:rFonts w:ascii="Times New Roman" w:hAnsi="Times New Roman" w:cstheme="minorHAnsi"/>
                <w:sz w:val="18"/>
                <w:szCs w:val="18"/>
              </w:rPr>
              <w:t xml:space="preserve"> sheet items </w:t>
            </w:r>
          </w:p>
        </w:tc>
        <w:tc>
          <w:tcPr>
            <w:tcW w:w="1611" w:type="dxa"/>
            <w:vAlign w:val="center"/>
          </w:tcPr>
          <w:p w14:paraId="7E36D280" w14:textId="5DF06787" w:rsidR="00F27B6A" w:rsidRPr="005C3A76" w:rsidRDefault="00F27B6A" w:rsidP="005C3A76">
            <w:pPr>
              <w:bidi w:val="0"/>
              <w:jc w:val="right"/>
              <w:rPr>
                <w:rFonts w:cstheme="minorHAnsi"/>
                <w:color w:val="000000"/>
                <w:sz w:val="22"/>
                <w:szCs w:val="22"/>
              </w:rPr>
            </w:pPr>
            <w:r w:rsidRPr="005C3A76">
              <w:rPr>
                <w:rFonts w:cstheme="minorHAnsi"/>
                <w:color w:val="000000"/>
                <w:sz w:val="22"/>
                <w:szCs w:val="22"/>
              </w:rPr>
              <w:t>855,091</w:t>
            </w:r>
          </w:p>
        </w:tc>
      </w:tr>
      <w:tr w:rsidR="00F27B6A" w:rsidRPr="00DE68A1" w14:paraId="3F440CA1" w14:textId="77777777" w:rsidTr="00E915B3">
        <w:trPr>
          <w:trHeight w:val="445"/>
        </w:trPr>
        <w:tc>
          <w:tcPr>
            <w:tcW w:w="552" w:type="dxa"/>
          </w:tcPr>
          <w:p w14:paraId="7A34E06B"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 xml:space="preserve"> 2.</w:t>
            </w:r>
          </w:p>
        </w:tc>
        <w:tc>
          <w:tcPr>
            <w:tcW w:w="4570" w:type="dxa"/>
          </w:tcPr>
          <w:p w14:paraId="59925105" w14:textId="77777777" w:rsidR="00F27B6A" w:rsidRPr="00DE68A1" w:rsidRDefault="00F27B6A" w:rsidP="00F27B6A">
            <w:pPr>
              <w:jc w:val="right"/>
              <w:rPr>
                <w:rFonts w:cstheme="minorHAnsi"/>
                <w:sz w:val="18"/>
                <w:szCs w:val="18"/>
              </w:rPr>
            </w:pPr>
            <w:r w:rsidRPr="00DE68A1">
              <w:rPr>
                <w:rFonts w:ascii="Times New Roman" w:hAnsi="Times New Roman" w:cstheme="minorHAnsi"/>
                <w:sz w:val="18"/>
                <w:szCs w:val="18"/>
              </w:rPr>
              <w:t>(Amounts of assets deducted when calculating theT1 of the capital)</w:t>
            </w:r>
          </w:p>
        </w:tc>
        <w:tc>
          <w:tcPr>
            <w:tcW w:w="1611" w:type="dxa"/>
            <w:vAlign w:val="center"/>
          </w:tcPr>
          <w:p w14:paraId="5D3B193C" w14:textId="6AC0856D" w:rsidR="00F27B6A" w:rsidRPr="005C3A76" w:rsidRDefault="00F27B6A" w:rsidP="005C3A76">
            <w:pPr>
              <w:bidi w:val="0"/>
              <w:jc w:val="right"/>
              <w:rPr>
                <w:rFonts w:cstheme="minorHAnsi"/>
                <w:color w:val="000000"/>
                <w:sz w:val="22"/>
                <w:szCs w:val="22"/>
              </w:rPr>
            </w:pPr>
            <w:r w:rsidRPr="005C3A76">
              <w:rPr>
                <w:rFonts w:cstheme="minorHAnsi"/>
                <w:color w:val="000000"/>
                <w:sz w:val="22"/>
                <w:szCs w:val="22"/>
              </w:rPr>
              <w:t>0</w:t>
            </w:r>
          </w:p>
        </w:tc>
      </w:tr>
      <w:tr w:rsidR="00F27B6A" w:rsidRPr="00DE68A1" w14:paraId="57254F55" w14:textId="77777777" w:rsidTr="00E915B3">
        <w:trPr>
          <w:trHeight w:val="217"/>
        </w:trPr>
        <w:tc>
          <w:tcPr>
            <w:tcW w:w="552" w:type="dxa"/>
          </w:tcPr>
          <w:p w14:paraId="30A563AA"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3.</w:t>
            </w:r>
          </w:p>
        </w:tc>
        <w:tc>
          <w:tcPr>
            <w:tcW w:w="4570" w:type="dxa"/>
          </w:tcPr>
          <w:p w14:paraId="53ED4F2B" w14:textId="77777777" w:rsidR="00F27B6A" w:rsidRPr="00DE68A1" w:rsidRDefault="00F27B6A" w:rsidP="00F27B6A">
            <w:pPr>
              <w:jc w:val="right"/>
              <w:rPr>
                <w:rFonts w:cstheme="minorHAnsi"/>
                <w:b/>
                <w:bCs/>
                <w:sz w:val="18"/>
                <w:szCs w:val="18"/>
              </w:rPr>
            </w:pPr>
            <w:r w:rsidRPr="00DE68A1">
              <w:rPr>
                <w:rFonts w:ascii="Times New Roman" w:hAnsi="Times New Roman" w:cstheme="minorHAnsi"/>
                <w:b/>
                <w:bCs/>
                <w:sz w:val="18"/>
                <w:szCs w:val="18"/>
              </w:rPr>
              <w:t>Total On-balance sheet exposures</w:t>
            </w:r>
          </w:p>
        </w:tc>
        <w:tc>
          <w:tcPr>
            <w:tcW w:w="1611" w:type="dxa"/>
            <w:vAlign w:val="center"/>
          </w:tcPr>
          <w:p w14:paraId="5202F95D" w14:textId="76CB8933" w:rsidR="00F27B6A" w:rsidRPr="005C3A76" w:rsidRDefault="00F27B6A" w:rsidP="005C3A76">
            <w:pPr>
              <w:bidi w:val="0"/>
              <w:jc w:val="right"/>
              <w:rPr>
                <w:rFonts w:cstheme="minorHAnsi"/>
                <w:b/>
                <w:bCs/>
                <w:color w:val="000000"/>
                <w:sz w:val="22"/>
                <w:szCs w:val="22"/>
              </w:rPr>
            </w:pPr>
            <w:r w:rsidRPr="005C3A76">
              <w:rPr>
                <w:rFonts w:cstheme="minorHAnsi"/>
                <w:b/>
                <w:bCs/>
                <w:color w:val="000000"/>
                <w:sz w:val="22"/>
                <w:szCs w:val="22"/>
              </w:rPr>
              <w:t>855,091</w:t>
            </w:r>
          </w:p>
        </w:tc>
      </w:tr>
      <w:tr w:rsidR="00F27B6A" w:rsidRPr="00DE68A1" w14:paraId="2C0A6A9C" w14:textId="77777777" w:rsidTr="00E915B3">
        <w:trPr>
          <w:trHeight w:val="217"/>
        </w:trPr>
        <w:tc>
          <w:tcPr>
            <w:tcW w:w="552" w:type="dxa"/>
          </w:tcPr>
          <w:p w14:paraId="4D6154F5" w14:textId="77777777" w:rsidR="00F27B6A" w:rsidRPr="00DE68A1" w:rsidRDefault="00F27B6A" w:rsidP="00F27B6A">
            <w:pPr>
              <w:jc w:val="center"/>
              <w:rPr>
                <w:rFonts w:cstheme="minorHAnsi"/>
                <w:sz w:val="18"/>
                <w:szCs w:val="18"/>
              </w:rPr>
            </w:pPr>
          </w:p>
        </w:tc>
        <w:tc>
          <w:tcPr>
            <w:tcW w:w="4570" w:type="dxa"/>
            <w:shd w:val="clear" w:color="auto" w:fill="A6A6A6" w:themeFill="background1" w:themeFillShade="A6"/>
          </w:tcPr>
          <w:p w14:paraId="2A05161E" w14:textId="77777777" w:rsidR="00F27B6A" w:rsidRPr="00DE68A1" w:rsidRDefault="00F27B6A" w:rsidP="00F27B6A">
            <w:pPr>
              <w:jc w:val="center"/>
              <w:rPr>
                <w:rFonts w:cstheme="minorHAnsi"/>
                <w:b/>
                <w:bCs/>
                <w:sz w:val="18"/>
                <w:szCs w:val="18"/>
              </w:rPr>
            </w:pPr>
            <w:r w:rsidRPr="00DE68A1">
              <w:rPr>
                <w:rFonts w:ascii="Times New Roman" w:hAnsi="Times New Roman" w:cstheme="minorHAnsi"/>
                <w:b/>
                <w:bCs/>
                <w:sz w:val="18"/>
                <w:szCs w:val="18"/>
              </w:rPr>
              <w:t>Derivative Exposures</w:t>
            </w:r>
          </w:p>
        </w:tc>
        <w:tc>
          <w:tcPr>
            <w:tcW w:w="1611" w:type="dxa"/>
            <w:vAlign w:val="center"/>
          </w:tcPr>
          <w:p w14:paraId="202E51F2" w14:textId="795B6B3A" w:rsidR="00F27B6A" w:rsidRPr="005C3A76" w:rsidRDefault="00F27B6A" w:rsidP="005C3A76">
            <w:pPr>
              <w:bidi w:val="0"/>
              <w:jc w:val="right"/>
              <w:rPr>
                <w:rFonts w:cstheme="minorHAnsi"/>
                <w:color w:val="000000"/>
                <w:sz w:val="22"/>
                <w:szCs w:val="22"/>
              </w:rPr>
            </w:pPr>
            <w:r w:rsidRPr="005C3A76">
              <w:rPr>
                <w:rFonts w:cstheme="minorHAnsi"/>
                <w:color w:val="000000"/>
                <w:sz w:val="22"/>
                <w:szCs w:val="22"/>
              </w:rPr>
              <w:t> </w:t>
            </w:r>
          </w:p>
        </w:tc>
      </w:tr>
      <w:tr w:rsidR="00F27B6A" w:rsidRPr="00DE68A1" w14:paraId="07DA53F8" w14:textId="77777777" w:rsidTr="00E915B3">
        <w:trPr>
          <w:trHeight w:val="445"/>
        </w:trPr>
        <w:tc>
          <w:tcPr>
            <w:tcW w:w="552" w:type="dxa"/>
          </w:tcPr>
          <w:p w14:paraId="26A8B745"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4.</w:t>
            </w:r>
          </w:p>
        </w:tc>
        <w:tc>
          <w:tcPr>
            <w:tcW w:w="4570" w:type="dxa"/>
          </w:tcPr>
          <w:p w14:paraId="318B8851" w14:textId="29BA3EAE" w:rsidR="00F27B6A" w:rsidRPr="00DE68A1" w:rsidRDefault="00F27B6A" w:rsidP="00F27B6A">
            <w:pPr>
              <w:jc w:val="right"/>
              <w:rPr>
                <w:rFonts w:cstheme="minorHAnsi"/>
                <w:sz w:val="18"/>
                <w:szCs w:val="18"/>
              </w:rPr>
            </w:pPr>
            <w:r w:rsidRPr="00DE68A1">
              <w:rPr>
                <w:rFonts w:ascii="Times New Roman" w:hAnsi="Times New Roman" w:cstheme="minorHAnsi"/>
                <w:sz w:val="18"/>
                <w:szCs w:val="18"/>
              </w:rPr>
              <w:t xml:space="preserve"> Gross Exposure (including the amount of additional factor)</w:t>
            </w:r>
          </w:p>
        </w:tc>
        <w:tc>
          <w:tcPr>
            <w:tcW w:w="1611" w:type="dxa"/>
            <w:vAlign w:val="center"/>
          </w:tcPr>
          <w:p w14:paraId="50F95262" w14:textId="432D7A18" w:rsidR="00F27B6A" w:rsidRPr="005C3A76" w:rsidRDefault="00F27B6A" w:rsidP="005C3A76">
            <w:pPr>
              <w:bidi w:val="0"/>
              <w:jc w:val="right"/>
              <w:rPr>
                <w:rFonts w:cstheme="minorHAnsi"/>
                <w:color w:val="000000"/>
                <w:sz w:val="22"/>
                <w:szCs w:val="22"/>
              </w:rPr>
            </w:pPr>
            <w:r w:rsidRPr="005C3A76">
              <w:rPr>
                <w:rFonts w:cstheme="minorHAnsi"/>
                <w:color w:val="000000"/>
                <w:sz w:val="22"/>
                <w:szCs w:val="22"/>
              </w:rPr>
              <w:t>0</w:t>
            </w:r>
          </w:p>
        </w:tc>
      </w:tr>
      <w:tr w:rsidR="00F27B6A" w:rsidRPr="00DE68A1" w14:paraId="4E2AC889" w14:textId="77777777" w:rsidTr="00E915B3">
        <w:trPr>
          <w:trHeight w:val="217"/>
        </w:trPr>
        <w:tc>
          <w:tcPr>
            <w:tcW w:w="552" w:type="dxa"/>
          </w:tcPr>
          <w:p w14:paraId="5DD406D1"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5.</w:t>
            </w:r>
          </w:p>
        </w:tc>
        <w:tc>
          <w:tcPr>
            <w:tcW w:w="4570" w:type="dxa"/>
          </w:tcPr>
          <w:p w14:paraId="2A1662D5" w14:textId="77777777" w:rsidR="00F27B6A" w:rsidRPr="00DE68A1" w:rsidRDefault="00F27B6A" w:rsidP="00F27B6A">
            <w:pPr>
              <w:jc w:val="right"/>
              <w:rPr>
                <w:rFonts w:cstheme="minorHAnsi"/>
                <w:sz w:val="18"/>
                <w:szCs w:val="18"/>
              </w:rPr>
            </w:pPr>
            <w:r w:rsidRPr="00DE68A1">
              <w:rPr>
                <w:rFonts w:ascii="Times New Roman" w:hAnsi="Times New Roman" w:cstheme="minorHAnsi"/>
                <w:sz w:val="18"/>
                <w:szCs w:val="18"/>
              </w:rPr>
              <w:t>(Adjustments)</w:t>
            </w:r>
          </w:p>
        </w:tc>
        <w:tc>
          <w:tcPr>
            <w:tcW w:w="1611" w:type="dxa"/>
            <w:vAlign w:val="center"/>
          </w:tcPr>
          <w:p w14:paraId="37DA563A" w14:textId="42B1C575" w:rsidR="00F27B6A" w:rsidRPr="005C3A76" w:rsidRDefault="00F27B6A" w:rsidP="005C3A76">
            <w:pPr>
              <w:bidi w:val="0"/>
              <w:jc w:val="right"/>
              <w:rPr>
                <w:rFonts w:cstheme="minorHAnsi"/>
                <w:color w:val="000000"/>
                <w:sz w:val="22"/>
                <w:szCs w:val="22"/>
              </w:rPr>
            </w:pPr>
            <w:r w:rsidRPr="005C3A76">
              <w:rPr>
                <w:rFonts w:cstheme="minorHAnsi"/>
                <w:color w:val="000000"/>
                <w:sz w:val="22"/>
                <w:szCs w:val="22"/>
              </w:rPr>
              <w:t xml:space="preserve">0 </w:t>
            </w:r>
          </w:p>
        </w:tc>
      </w:tr>
      <w:tr w:rsidR="00F27B6A" w:rsidRPr="00DE68A1" w14:paraId="7093DF13" w14:textId="77777777" w:rsidTr="00E915B3">
        <w:trPr>
          <w:trHeight w:val="226"/>
        </w:trPr>
        <w:tc>
          <w:tcPr>
            <w:tcW w:w="552" w:type="dxa"/>
          </w:tcPr>
          <w:p w14:paraId="5A5C04F6"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6.</w:t>
            </w:r>
          </w:p>
        </w:tc>
        <w:tc>
          <w:tcPr>
            <w:tcW w:w="4570" w:type="dxa"/>
          </w:tcPr>
          <w:p w14:paraId="17373F5D" w14:textId="77777777" w:rsidR="00F27B6A" w:rsidRPr="00DE68A1" w:rsidRDefault="00F27B6A" w:rsidP="00F27B6A">
            <w:pPr>
              <w:jc w:val="right"/>
              <w:rPr>
                <w:rFonts w:cstheme="minorHAnsi"/>
                <w:b/>
                <w:bCs/>
                <w:sz w:val="18"/>
                <w:szCs w:val="18"/>
              </w:rPr>
            </w:pPr>
            <w:r w:rsidRPr="00DE68A1">
              <w:rPr>
                <w:rFonts w:ascii="Times New Roman" w:hAnsi="Times New Roman" w:cstheme="minorHAnsi"/>
                <w:b/>
                <w:bCs/>
                <w:sz w:val="18"/>
                <w:szCs w:val="18"/>
              </w:rPr>
              <w:t>Total derivative exposures</w:t>
            </w:r>
          </w:p>
        </w:tc>
        <w:tc>
          <w:tcPr>
            <w:tcW w:w="1611" w:type="dxa"/>
            <w:vAlign w:val="center"/>
          </w:tcPr>
          <w:p w14:paraId="3D869F23" w14:textId="38F0F212" w:rsidR="00F27B6A" w:rsidRPr="005C3A76" w:rsidRDefault="00F27B6A" w:rsidP="005C3A76">
            <w:pPr>
              <w:bidi w:val="0"/>
              <w:jc w:val="right"/>
              <w:rPr>
                <w:rFonts w:cstheme="minorHAnsi"/>
                <w:color w:val="000000"/>
                <w:sz w:val="22"/>
                <w:szCs w:val="22"/>
              </w:rPr>
            </w:pPr>
            <w:r w:rsidRPr="005C3A76">
              <w:rPr>
                <w:rFonts w:cstheme="minorHAnsi"/>
                <w:color w:val="000000"/>
                <w:sz w:val="22"/>
                <w:szCs w:val="22"/>
              </w:rPr>
              <w:t>0</w:t>
            </w:r>
          </w:p>
        </w:tc>
      </w:tr>
      <w:tr w:rsidR="00F27B6A" w:rsidRPr="00DE68A1" w14:paraId="34F183BC" w14:textId="77777777" w:rsidTr="00E915B3">
        <w:trPr>
          <w:trHeight w:val="217"/>
        </w:trPr>
        <w:tc>
          <w:tcPr>
            <w:tcW w:w="552" w:type="dxa"/>
          </w:tcPr>
          <w:p w14:paraId="73E1C22D" w14:textId="77777777" w:rsidR="00F27B6A" w:rsidRPr="00DE68A1" w:rsidRDefault="00F27B6A" w:rsidP="00F27B6A">
            <w:pPr>
              <w:jc w:val="center"/>
              <w:rPr>
                <w:rFonts w:cstheme="minorHAnsi"/>
                <w:sz w:val="18"/>
                <w:szCs w:val="18"/>
              </w:rPr>
            </w:pPr>
          </w:p>
        </w:tc>
        <w:tc>
          <w:tcPr>
            <w:tcW w:w="4570" w:type="dxa"/>
            <w:shd w:val="clear" w:color="auto" w:fill="A6A6A6" w:themeFill="background1" w:themeFillShade="A6"/>
          </w:tcPr>
          <w:p w14:paraId="36E3364E" w14:textId="77777777" w:rsidR="00F27B6A" w:rsidRPr="00DE68A1" w:rsidRDefault="00F27B6A" w:rsidP="00F27B6A">
            <w:pPr>
              <w:jc w:val="center"/>
              <w:rPr>
                <w:rFonts w:cstheme="minorHAnsi"/>
                <w:b/>
                <w:bCs/>
                <w:sz w:val="18"/>
                <w:szCs w:val="18"/>
              </w:rPr>
            </w:pPr>
            <w:r w:rsidRPr="00DE68A1">
              <w:rPr>
                <w:rFonts w:ascii="Times New Roman" w:hAnsi="Times New Roman" w:cstheme="minorHAnsi"/>
                <w:b/>
                <w:bCs/>
                <w:sz w:val="18"/>
                <w:szCs w:val="18"/>
              </w:rPr>
              <w:t>Securities financing transaction exposures</w:t>
            </w:r>
          </w:p>
        </w:tc>
        <w:tc>
          <w:tcPr>
            <w:tcW w:w="1611" w:type="dxa"/>
            <w:vAlign w:val="center"/>
          </w:tcPr>
          <w:p w14:paraId="45A70ED9" w14:textId="0E836AD8" w:rsidR="00F27B6A" w:rsidRPr="005C3A76" w:rsidRDefault="00F27B6A" w:rsidP="005C3A76">
            <w:pPr>
              <w:bidi w:val="0"/>
              <w:jc w:val="right"/>
              <w:rPr>
                <w:rFonts w:cstheme="minorHAnsi"/>
                <w:color w:val="000000"/>
                <w:sz w:val="22"/>
                <w:szCs w:val="22"/>
              </w:rPr>
            </w:pPr>
            <w:r w:rsidRPr="005C3A76">
              <w:rPr>
                <w:rFonts w:cstheme="minorHAnsi"/>
                <w:color w:val="000000"/>
                <w:sz w:val="22"/>
                <w:szCs w:val="22"/>
              </w:rPr>
              <w:t> </w:t>
            </w:r>
          </w:p>
        </w:tc>
      </w:tr>
      <w:tr w:rsidR="00F27B6A" w:rsidRPr="00DE68A1" w14:paraId="3F2EDC4A" w14:textId="77777777" w:rsidTr="00E915B3">
        <w:trPr>
          <w:trHeight w:val="217"/>
        </w:trPr>
        <w:tc>
          <w:tcPr>
            <w:tcW w:w="552" w:type="dxa"/>
          </w:tcPr>
          <w:p w14:paraId="3057822A"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7.</w:t>
            </w:r>
          </w:p>
        </w:tc>
        <w:tc>
          <w:tcPr>
            <w:tcW w:w="4570" w:type="dxa"/>
          </w:tcPr>
          <w:p w14:paraId="282947F2" w14:textId="77777777" w:rsidR="00F27B6A" w:rsidRPr="00DE68A1" w:rsidRDefault="00F27B6A" w:rsidP="00F27B6A">
            <w:pPr>
              <w:jc w:val="right"/>
              <w:rPr>
                <w:rFonts w:cstheme="minorHAnsi"/>
                <w:sz w:val="18"/>
                <w:szCs w:val="18"/>
              </w:rPr>
            </w:pPr>
            <w:r w:rsidRPr="00DE68A1">
              <w:rPr>
                <w:rFonts w:ascii="Times New Roman" w:hAnsi="Times New Roman" w:cstheme="minorHAnsi"/>
                <w:sz w:val="18"/>
                <w:szCs w:val="18"/>
              </w:rPr>
              <w:t>SFT Assets</w:t>
            </w:r>
          </w:p>
        </w:tc>
        <w:tc>
          <w:tcPr>
            <w:tcW w:w="1611" w:type="dxa"/>
            <w:vAlign w:val="center"/>
          </w:tcPr>
          <w:p w14:paraId="52B9DBB7" w14:textId="62A68CD3" w:rsidR="00F27B6A" w:rsidRPr="005C3A76" w:rsidRDefault="00F27B6A" w:rsidP="005C3A76">
            <w:pPr>
              <w:bidi w:val="0"/>
              <w:jc w:val="right"/>
              <w:rPr>
                <w:rFonts w:cstheme="minorHAnsi"/>
                <w:color w:val="000000"/>
                <w:sz w:val="22"/>
                <w:szCs w:val="22"/>
              </w:rPr>
            </w:pPr>
            <w:r w:rsidRPr="005C3A76">
              <w:rPr>
                <w:rFonts w:cstheme="minorHAnsi"/>
                <w:color w:val="000000"/>
                <w:sz w:val="22"/>
                <w:szCs w:val="22"/>
              </w:rPr>
              <w:t>0</w:t>
            </w:r>
          </w:p>
        </w:tc>
      </w:tr>
      <w:tr w:rsidR="00F27B6A" w:rsidRPr="00DE68A1" w14:paraId="7912B1F5" w14:textId="77777777" w:rsidTr="00E915B3">
        <w:trPr>
          <w:trHeight w:val="217"/>
        </w:trPr>
        <w:tc>
          <w:tcPr>
            <w:tcW w:w="552" w:type="dxa"/>
          </w:tcPr>
          <w:p w14:paraId="03C5D070"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8.</w:t>
            </w:r>
          </w:p>
        </w:tc>
        <w:tc>
          <w:tcPr>
            <w:tcW w:w="4570" w:type="dxa"/>
          </w:tcPr>
          <w:p w14:paraId="56DA0C16" w14:textId="77777777" w:rsidR="00F27B6A" w:rsidRPr="00DE68A1" w:rsidRDefault="00F27B6A" w:rsidP="00F27B6A">
            <w:pPr>
              <w:jc w:val="right"/>
              <w:rPr>
                <w:rFonts w:cstheme="minorHAnsi"/>
                <w:b/>
                <w:bCs/>
                <w:sz w:val="18"/>
                <w:szCs w:val="18"/>
              </w:rPr>
            </w:pPr>
            <w:r w:rsidRPr="00DE68A1">
              <w:rPr>
                <w:rFonts w:ascii="Times New Roman" w:hAnsi="Times New Roman" w:cstheme="minorHAnsi"/>
                <w:b/>
                <w:bCs/>
                <w:sz w:val="18"/>
                <w:szCs w:val="18"/>
              </w:rPr>
              <w:t>Total securities financing transaction exposures</w:t>
            </w:r>
          </w:p>
        </w:tc>
        <w:tc>
          <w:tcPr>
            <w:tcW w:w="1611" w:type="dxa"/>
            <w:vAlign w:val="center"/>
          </w:tcPr>
          <w:p w14:paraId="060E9910" w14:textId="2A7568E0" w:rsidR="00F27B6A" w:rsidRPr="005C3A76" w:rsidRDefault="00F27B6A" w:rsidP="005C3A76">
            <w:pPr>
              <w:bidi w:val="0"/>
              <w:jc w:val="right"/>
              <w:rPr>
                <w:rFonts w:cstheme="minorHAnsi"/>
                <w:color w:val="000000"/>
                <w:sz w:val="22"/>
                <w:szCs w:val="22"/>
              </w:rPr>
            </w:pPr>
            <w:r w:rsidRPr="005C3A76">
              <w:rPr>
                <w:rFonts w:cstheme="minorHAnsi"/>
                <w:color w:val="000000"/>
                <w:sz w:val="22"/>
                <w:szCs w:val="22"/>
              </w:rPr>
              <w:t>0</w:t>
            </w:r>
          </w:p>
        </w:tc>
      </w:tr>
      <w:tr w:rsidR="00F27B6A" w:rsidRPr="00DE68A1" w14:paraId="0E040216" w14:textId="77777777" w:rsidTr="00E915B3">
        <w:trPr>
          <w:trHeight w:val="226"/>
        </w:trPr>
        <w:tc>
          <w:tcPr>
            <w:tcW w:w="552" w:type="dxa"/>
          </w:tcPr>
          <w:p w14:paraId="5D41F837" w14:textId="77777777" w:rsidR="00F27B6A" w:rsidRPr="00DE68A1" w:rsidRDefault="00F27B6A" w:rsidP="00F27B6A">
            <w:pPr>
              <w:rPr>
                <w:rFonts w:cstheme="minorHAnsi"/>
                <w:sz w:val="18"/>
                <w:szCs w:val="18"/>
              </w:rPr>
            </w:pPr>
          </w:p>
        </w:tc>
        <w:tc>
          <w:tcPr>
            <w:tcW w:w="4570" w:type="dxa"/>
            <w:shd w:val="clear" w:color="auto" w:fill="A6A6A6" w:themeFill="background1" w:themeFillShade="A6"/>
          </w:tcPr>
          <w:p w14:paraId="46DC4BB1" w14:textId="77777777" w:rsidR="00F27B6A" w:rsidRPr="00DE68A1" w:rsidRDefault="00F27B6A" w:rsidP="00F27B6A">
            <w:pPr>
              <w:jc w:val="center"/>
              <w:rPr>
                <w:rFonts w:cstheme="minorHAnsi"/>
                <w:b/>
                <w:bCs/>
                <w:sz w:val="18"/>
                <w:szCs w:val="18"/>
              </w:rPr>
            </w:pPr>
            <w:r w:rsidRPr="00DE68A1">
              <w:rPr>
                <w:rFonts w:ascii="Times New Roman" w:hAnsi="Times New Roman" w:cstheme="minorHAnsi"/>
                <w:b/>
                <w:bCs/>
                <w:sz w:val="18"/>
                <w:szCs w:val="18"/>
              </w:rPr>
              <w:t>Off Balance sheet items</w:t>
            </w:r>
          </w:p>
        </w:tc>
        <w:tc>
          <w:tcPr>
            <w:tcW w:w="1611" w:type="dxa"/>
            <w:vAlign w:val="center"/>
          </w:tcPr>
          <w:p w14:paraId="0C50ACDB" w14:textId="0DFB030D" w:rsidR="00F27B6A" w:rsidRPr="005C3A76" w:rsidRDefault="00F27B6A" w:rsidP="005C3A76">
            <w:pPr>
              <w:bidi w:val="0"/>
              <w:jc w:val="right"/>
              <w:rPr>
                <w:rFonts w:cstheme="minorHAnsi"/>
                <w:b/>
                <w:bCs/>
                <w:color w:val="000000"/>
                <w:sz w:val="22"/>
                <w:szCs w:val="22"/>
              </w:rPr>
            </w:pPr>
            <w:r w:rsidRPr="005C3A76">
              <w:rPr>
                <w:rFonts w:cstheme="minorHAnsi"/>
                <w:b/>
                <w:bCs/>
                <w:color w:val="000000"/>
                <w:sz w:val="22"/>
                <w:szCs w:val="22"/>
              </w:rPr>
              <w:t>207</w:t>
            </w:r>
            <w:r w:rsidR="005C3A76" w:rsidRPr="005C3A76">
              <w:rPr>
                <w:rFonts w:cstheme="minorHAnsi"/>
                <w:b/>
                <w:bCs/>
                <w:color w:val="000000"/>
                <w:sz w:val="22"/>
                <w:szCs w:val="22"/>
              </w:rPr>
              <w:t>,</w:t>
            </w:r>
            <w:r w:rsidRPr="005C3A76">
              <w:rPr>
                <w:rFonts w:cstheme="minorHAnsi"/>
                <w:b/>
                <w:bCs/>
                <w:color w:val="000000"/>
                <w:sz w:val="22"/>
                <w:szCs w:val="22"/>
              </w:rPr>
              <w:t>966</w:t>
            </w:r>
          </w:p>
        </w:tc>
      </w:tr>
      <w:tr w:rsidR="00F27B6A" w:rsidRPr="00DE68A1" w14:paraId="086F8D37" w14:textId="77777777" w:rsidTr="00E915B3">
        <w:trPr>
          <w:trHeight w:val="217"/>
        </w:trPr>
        <w:tc>
          <w:tcPr>
            <w:tcW w:w="552" w:type="dxa"/>
          </w:tcPr>
          <w:p w14:paraId="4AD0C621"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9.</w:t>
            </w:r>
          </w:p>
        </w:tc>
        <w:tc>
          <w:tcPr>
            <w:tcW w:w="4570" w:type="dxa"/>
          </w:tcPr>
          <w:p w14:paraId="464DCC69" w14:textId="77777777" w:rsidR="00F27B6A" w:rsidRPr="00DE68A1" w:rsidRDefault="00F27B6A" w:rsidP="00F27B6A">
            <w:pPr>
              <w:jc w:val="right"/>
              <w:rPr>
                <w:rFonts w:cstheme="minorHAnsi"/>
                <w:sz w:val="18"/>
                <w:szCs w:val="18"/>
              </w:rPr>
            </w:pPr>
            <w:r w:rsidRPr="00DE68A1">
              <w:rPr>
                <w:rFonts w:ascii="Times New Roman" w:hAnsi="Times New Roman" w:cstheme="minorHAnsi"/>
                <w:sz w:val="18"/>
                <w:szCs w:val="18"/>
              </w:rPr>
              <w:t>Commitments</w:t>
            </w:r>
          </w:p>
        </w:tc>
        <w:tc>
          <w:tcPr>
            <w:tcW w:w="1611" w:type="dxa"/>
            <w:vAlign w:val="center"/>
          </w:tcPr>
          <w:p w14:paraId="31A7AB9E" w14:textId="76276C10" w:rsidR="00F27B6A" w:rsidRPr="005C3A76" w:rsidRDefault="00F27B6A" w:rsidP="005C3A76">
            <w:pPr>
              <w:bidi w:val="0"/>
              <w:jc w:val="right"/>
              <w:rPr>
                <w:rFonts w:cstheme="minorHAnsi"/>
                <w:color w:val="000000"/>
                <w:sz w:val="22"/>
                <w:szCs w:val="22"/>
              </w:rPr>
            </w:pPr>
            <w:r w:rsidRPr="005C3A76">
              <w:rPr>
                <w:rFonts w:cstheme="minorHAnsi"/>
                <w:color w:val="000000"/>
                <w:sz w:val="22"/>
                <w:szCs w:val="22"/>
              </w:rPr>
              <w:t>195,017</w:t>
            </w:r>
          </w:p>
        </w:tc>
      </w:tr>
      <w:tr w:rsidR="00F27B6A" w:rsidRPr="00DE68A1" w14:paraId="67A49440" w14:textId="77777777" w:rsidTr="00E915B3">
        <w:trPr>
          <w:trHeight w:val="445"/>
        </w:trPr>
        <w:tc>
          <w:tcPr>
            <w:tcW w:w="552" w:type="dxa"/>
          </w:tcPr>
          <w:p w14:paraId="3A892F07"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10.</w:t>
            </w:r>
          </w:p>
        </w:tc>
        <w:tc>
          <w:tcPr>
            <w:tcW w:w="4570" w:type="dxa"/>
          </w:tcPr>
          <w:p w14:paraId="3BDDF44A" w14:textId="77777777" w:rsidR="00F27B6A" w:rsidRPr="00DE68A1" w:rsidRDefault="00F27B6A" w:rsidP="00F27B6A">
            <w:pPr>
              <w:jc w:val="right"/>
              <w:rPr>
                <w:rFonts w:cstheme="minorHAnsi"/>
                <w:sz w:val="18"/>
                <w:szCs w:val="18"/>
              </w:rPr>
            </w:pPr>
            <w:r w:rsidRPr="00DE68A1">
              <w:rPr>
                <w:rFonts w:ascii="Times New Roman" w:hAnsi="Times New Roman" w:cstheme="minorHAnsi"/>
                <w:sz w:val="18"/>
                <w:szCs w:val="18"/>
              </w:rPr>
              <w:t xml:space="preserve">(Adjustments for conversion to credit equivalent amounts) </w:t>
            </w:r>
          </w:p>
        </w:tc>
        <w:tc>
          <w:tcPr>
            <w:tcW w:w="1611" w:type="dxa"/>
            <w:vAlign w:val="center"/>
          </w:tcPr>
          <w:p w14:paraId="4CF17F11" w14:textId="61698949" w:rsidR="00F27B6A" w:rsidRPr="005C3A76" w:rsidRDefault="00F27B6A" w:rsidP="005C3A76">
            <w:pPr>
              <w:bidi w:val="0"/>
              <w:jc w:val="right"/>
              <w:rPr>
                <w:rFonts w:cstheme="minorHAnsi"/>
                <w:color w:val="000000"/>
                <w:sz w:val="22"/>
                <w:szCs w:val="22"/>
              </w:rPr>
            </w:pPr>
            <w:r w:rsidRPr="005C3A76">
              <w:rPr>
                <w:rFonts w:cstheme="minorHAnsi"/>
                <w:color w:val="000000"/>
                <w:sz w:val="22"/>
                <w:szCs w:val="22"/>
              </w:rPr>
              <w:t>(156,014)</w:t>
            </w:r>
          </w:p>
        </w:tc>
      </w:tr>
      <w:tr w:rsidR="00F27B6A" w:rsidRPr="00DE68A1" w14:paraId="5586F850" w14:textId="77777777" w:rsidTr="00E915B3">
        <w:trPr>
          <w:trHeight w:val="217"/>
        </w:trPr>
        <w:tc>
          <w:tcPr>
            <w:tcW w:w="552" w:type="dxa"/>
          </w:tcPr>
          <w:p w14:paraId="2FD85CBA"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11.</w:t>
            </w:r>
          </w:p>
        </w:tc>
        <w:tc>
          <w:tcPr>
            <w:tcW w:w="4570" w:type="dxa"/>
          </w:tcPr>
          <w:p w14:paraId="1A6A209E" w14:textId="77777777" w:rsidR="00F27B6A" w:rsidRPr="00DE68A1" w:rsidRDefault="00F27B6A" w:rsidP="00F27B6A">
            <w:pPr>
              <w:jc w:val="right"/>
              <w:rPr>
                <w:rFonts w:cstheme="minorHAnsi"/>
                <w:b/>
                <w:bCs/>
                <w:sz w:val="18"/>
                <w:szCs w:val="18"/>
              </w:rPr>
            </w:pPr>
            <w:r w:rsidRPr="00DE68A1">
              <w:rPr>
                <w:rFonts w:ascii="Times New Roman" w:hAnsi="Times New Roman" w:cstheme="minorHAnsi"/>
                <w:b/>
                <w:bCs/>
                <w:sz w:val="18"/>
                <w:szCs w:val="18"/>
              </w:rPr>
              <w:t>Total Commitments</w:t>
            </w:r>
          </w:p>
        </w:tc>
        <w:tc>
          <w:tcPr>
            <w:tcW w:w="1611" w:type="dxa"/>
            <w:vAlign w:val="center"/>
          </w:tcPr>
          <w:p w14:paraId="74720717" w14:textId="28C4AFE1" w:rsidR="00F27B6A" w:rsidRPr="005C3A76" w:rsidRDefault="00F27B6A" w:rsidP="005C3A76">
            <w:pPr>
              <w:bidi w:val="0"/>
              <w:jc w:val="right"/>
              <w:rPr>
                <w:rFonts w:cstheme="minorHAnsi"/>
                <w:b/>
                <w:bCs/>
                <w:color w:val="000000"/>
                <w:sz w:val="22"/>
                <w:szCs w:val="22"/>
              </w:rPr>
            </w:pPr>
            <w:r w:rsidRPr="005C3A76">
              <w:rPr>
                <w:rFonts w:cstheme="minorHAnsi"/>
                <w:b/>
                <w:bCs/>
                <w:color w:val="000000"/>
                <w:sz w:val="22"/>
                <w:szCs w:val="22"/>
              </w:rPr>
              <w:t>39,003</w:t>
            </w:r>
          </w:p>
        </w:tc>
      </w:tr>
      <w:tr w:rsidR="00F27B6A" w:rsidRPr="00DE68A1" w14:paraId="583F45E4" w14:textId="77777777" w:rsidTr="00E915B3">
        <w:trPr>
          <w:trHeight w:val="217"/>
        </w:trPr>
        <w:tc>
          <w:tcPr>
            <w:tcW w:w="552" w:type="dxa"/>
          </w:tcPr>
          <w:p w14:paraId="35F0F1C0"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12.</w:t>
            </w:r>
          </w:p>
        </w:tc>
        <w:tc>
          <w:tcPr>
            <w:tcW w:w="4570" w:type="dxa"/>
          </w:tcPr>
          <w:p w14:paraId="777720AC" w14:textId="77777777" w:rsidR="00F27B6A" w:rsidRPr="00DE68A1" w:rsidRDefault="00F27B6A" w:rsidP="00F27B6A">
            <w:pPr>
              <w:jc w:val="right"/>
              <w:rPr>
                <w:rFonts w:cstheme="minorHAnsi"/>
                <w:sz w:val="18"/>
                <w:szCs w:val="18"/>
              </w:rPr>
            </w:pPr>
            <w:r w:rsidRPr="00DE68A1">
              <w:rPr>
                <w:rFonts w:ascii="Times New Roman" w:hAnsi="Times New Roman" w:cstheme="minorHAnsi"/>
                <w:sz w:val="18"/>
                <w:szCs w:val="18"/>
              </w:rPr>
              <w:t>Contingencies</w:t>
            </w:r>
          </w:p>
        </w:tc>
        <w:tc>
          <w:tcPr>
            <w:tcW w:w="1611" w:type="dxa"/>
            <w:vAlign w:val="center"/>
          </w:tcPr>
          <w:p w14:paraId="302D6317" w14:textId="1C9C15F8" w:rsidR="00F27B6A" w:rsidRPr="005C3A76" w:rsidRDefault="00F27B6A" w:rsidP="005C3A76">
            <w:pPr>
              <w:bidi w:val="0"/>
              <w:jc w:val="right"/>
              <w:rPr>
                <w:rFonts w:cstheme="minorHAnsi"/>
                <w:color w:val="000000"/>
                <w:sz w:val="22"/>
                <w:szCs w:val="22"/>
              </w:rPr>
            </w:pPr>
            <w:r w:rsidRPr="005C3A76">
              <w:rPr>
                <w:rFonts w:cstheme="minorHAnsi"/>
                <w:color w:val="000000"/>
                <w:sz w:val="22"/>
                <w:szCs w:val="22"/>
              </w:rPr>
              <w:t>60,803</w:t>
            </w:r>
          </w:p>
        </w:tc>
      </w:tr>
      <w:tr w:rsidR="00F27B6A" w:rsidRPr="00DE68A1" w14:paraId="3DE191CD" w14:textId="77777777" w:rsidTr="00E915B3">
        <w:trPr>
          <w:trHeight w:val="445"/>
        </w:trPr>
        <w:tc>
          <w:tcPr>
            <w:tcW w:w="552" w:type="dxa"/>
          </w:tcPr>
          <w:p w14:paraId="0E69222F"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13.</w:t>
            </w:r>
          </w:p>
        </w:tc>
        <w:tc>
          <w:tcPr>
            <w:tcW w:w="4570" w:type="dxa"/>
          </w:tcPr>
          <w:p w14:paraId="72511D31" w14:textId="77777777" w:rsidR="00F27B6A" w:rsidRPr="00DE68A1" w:rsidRDefault="00F27B6A" w:rsidP="00F27B6A">
            <w:pPr>
              <w:jc w:val="right"/>
              <w:rPr>
                <w:rFonts w:cstheme="minorHAnsi"/>
                <w:sz w:val="18"/>
                <w:szCs w:val="18"/>
              </w:rPr>
            </w:pPr>
            <w:r w:rsidRPr="00DE68A1">
              <w:rPr>
                <w:rFonts w:ascii="Times New Roman" w:hAnsi="Times New Roman" w:cstheme="minorHAnsi"/>
                <w:sz w:val="18"/>
                <w:szCs w:val="18"/>
              </w:rPr>
              <w:t xml:space="preserve">(Adjustments for conversion to credit equivalent amounts) </w:t>
            </w:r>
          </w:p>
        </w:tc>
        <w:tc>
          <w:tcPr>
            <w:tcW w:w="1611" w:type="dxa"/>
            <w:vAlign w:val="center"/>
          </w:tcPr>
          <w:p w14:paraId="2CD9E2E1" w14:textId="2B038CA8" w:rsidR="00F27B6A" w:rsidRPr="005C3A76" w:rsidRDefault="00F27B6A" w:rsidP="005C3A76">
            <w:pPr>
              <w:bidi w:val="0"/>
              <w:jc w:val="right"/>
              <w:rPr>
                <w:rFonts w:cstheme="minorHAnsi"/>
                <w:color w:val="000000"/>
                <w:sz w:val="22"/>
                <w:szCs w:val="22"/>
              </w:rPr>
            </w:pPr>
            <w:r w:rsidRPr="005C3A76">
              <w:rPr>
                <w:rFonts w:cstheme="minorHAnsi"/>
                <w:color w:val="000000"/>
                <w:sz w:val="22"/>
                <w:szCs w:val="22"/>
              </w:rPr>
              <w:t xml:space="preserve">31,573 </w:t>
            </w:r>
          </w:p>
        </w:tc>
      </w:tr>
      <w:tr w:rsidR="00F27B6A" w:rsidRPr="00DE68A1" w14:paraId="25F88798" w14:textId="77777777" w:rsidTr="00E915B3">
        <w:trPr>
          <w:trHeight w:val="217"/>
        </w:trPr>
        <w:tc>
          <w:tcPr>
            <w:tcW w:w="552" w:type="dxa"/>
          </w:tcPr>
          <w:p w14:paraId="11A34AEE"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14.</w:t>
            </w:r>
          </w:p>
        </w:tc>
        <w:tc>
          <w:tcPr>
            <w:tcW w:w="4570" w:type="dxa"/>
          </w:tcPr>
          <w:p w14:paraId="407E3DB0" w14:textId="77777777" w:rsidR="00F27B6A" w:rsidRPr="00DE68A1" w:rsidRDefault="00F27B6A" w:rsidP="00F27B6A">
            <w:pPr>
              <w:jc w:val="right"/>
              <w:rPr>
                <w:rFonts w:cstheme="minorHAnsi"/>
                <w:b/>
                <w:bCs/>
                <w:sz w:val="18"/>
                <w:szCs w:val="18"/>
              </w:rPr>
            </w:pPr>
            <w:r w:rsidRPr="00DE68A1">
              <w:rPr>
                <w:rFonts w:ascii="Times New Roman" w:hAnsi="Times New Roman" w:cstheme="minorHAnsi"/>
                <w:b/>
                <w:bCs/>
                <w:sz w:val="18"/>
                <w:szCs w:val="18"/>
              </w:rPr>
              <w:t>Total Contingencies</w:t>
            </w:r>
          </w:p>
        </w:tc>
        <w:tc>
          <w:tcPr>
            <w:tcW w:w="1611" w:type="dxa"/>
            <w:vAlign w:val="center"/>
          </w:tcPr>
          <w:p w14:paraId="46116FBD" w14:textId="4237E066" w:rsidR="00F27B6A" w:rsidRPr="005C3A76" w:rsidRDefault="00F27B6A" w:rsidP="005C3A76">
            <w:pPr>
              <w:bidi w:val="0"/>
              <w:jc w:val="right"/>
              <w:rPr>
                <w:rFonts w:cstheme="minorHAnsi"/>
                <w:b/>
                <w:bCs/>
                <w:color w:val="000000"/>
                <w:sz w:val="22"/>
                <w:szCs w:val="22"/>
              </w:rPr>
            </w:pPr>
            <w:r w:rsidRPr="005C3A76">
              <w:rPr>
                <w:rFonts w:cstheme="minorHAnsi"/>
                <w:b/>
                <w:bCs/>
                <w:color w:val="000000"/>
                <w:sz w:val="22"/>
                <w:szCs w:val="22"/>
              </w:rPr>
              <w:t>29,230</w:t>
            </w:r>
          </w:p>
        </w:tc>
      </w:tr>
      <w:tr w:rsidR="00F27B6A" w:rsidRPr="00DE68A1" w14:paraId="175BC20D" w14:textId="77777777" w:rsidTr="00E915B3">
        <w:trPr>
          <w:trHeight w:val="226"/>
        </w:trPr>
        <w:tc>
          <w:tcPr>
            <w:tcW w:w="552" w:type="dxa"/>
          </w:tcPr>
          <w:p w14:paraId="4A769534"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15.</w:t>
            </w:r>
          </w:p>
        </w:tc>
        <w:tc>
          <w:tcPr>
            <w:tcW w:w="4570" w:type="dxa"/>
          </w:tcPr>
          <w:p w14:paraId="4246D491" w14:textId="77777777" w:rsidR="00F27B6A" w:rsidRPr="00DE68A1" w:rsidRDefault="00F27B6A" w:rsidP="00F27B6A">
            <w:pPr>
              <w:jc w:val="right"/>
              <w:rPr>
                <w:rFonts w:cstheme="minorHAnsi"/>
                <w:sz w:val="18"/>
                <w:szCs w:val="18"/>
              </w:rPr>
            </w:pPr>
            <w:r w:rsidRPr="00DE68A1">
              <w:rPr>
                <w:rFonts w:ascii="Times New Roman" w:hAnsi="Times New Roman" w:cstheme="minorHAnsi"/>
                <w:b/>
                <w:bCs/>
                <w:sz w:val="18"/>
                <w:szCs w:val="18"/>
              </w:rPr>
              <w:t>Total Off Balance sheet items</w:t>
            </w:r>
          </w:p>
        </w:tc>
        <w:tc>
          <w:tcPr>
            <w:tcW w:w="1611" w:type="dxa"/>
            <w:vAlign w:val="center"/>
          </w:tcPr>
          <w:p w14:paraId="32558F00" w14:textId="74A87AF3" w:rsidR="00F27B6A" w:rsidRPr="005C3A76" w:rsidRDefault="00F27B6A" w:rsidP="005C3A76">
            <w:pPr>
              <w:bidi w:val="0"/>
              <w:jc w:val="right"/>
              <w:rPr>
                <w:rFonts w:cstheme="minorHAnsi"/>
                <w:b/>
                <w:bCs/>
                <w:color w:val="000000"/>
                <w:sz w:val="22"/>
                <w:szCs w:val="22"/>
              </w:rPr>
            </w:pPr>
            <w:r w:rsidRPr="005C3A76">
              <w:rPr>
                <w:rFonts w:cstheme="minorHAnsi"/>
                <w:b/>
                <w:bCs/>
                <w:color w:val="000000"/>
                <w:sz w:val="22"/>
                <w:szCs w:val="22"/>
              </w:rPr>
              <w:t>68,233</w:t>
            </w:r>
          </w:p>
        </w:tc>
      </w:tr>
      <w:tr w:rsidR="00F27B6A" w:rsidRPr="00DE68A1" w14:paraId="1597E618" w14:textId="77777777" w:rsidTr="00E915B3">
        <w:trPr>
          <w:trHeight w:val="217"/>
        </w:trPr>
        <w:tc>
          <w:tcPr>
            <w:tcW w:w="552" w:type="dxa"/>
          </w:tcPr>
          <w:p w14:paraId="36303867" w14:textId="77777777" w:rsidR="00F27B6A" w:rsidRPr="00DE68A1" w:rsidRDefault="00F27B6A" w:rsidP="00F27B6A">
            <w:pPr>
              <w:jc w:val="center"/>
              <w:rPr>
                <w:rFonts w:cstheme="minorHAnsi"/>
                <w:sz w:val="18"/>
                <w:szCs w:val="18"/>
              </w:rPr>
            </w:pPr>
          </w:p>
        </w:tc>
        <w:tc>
          <w:tcPr>
            <w:tcW w:w="4570" w:type="dxa"/>
            <w:shd w:val="clear" w:color="auto" w:fill="A6A6A6" w:themeFill="background1" w:themeFillShade="A6"/>
          </w:tcPr>
          <w:p w14:paraId="72F08C6D" w14:textId="77777777" w:rsidR="00F27B6A" w:rsidRPr="00DE68A1" w:rsidRDefault="00F27B6A" w:rsidP="00F27B6A">
            <w:pPr>
              <w:jc w:val="center"/>
              <w:rPr>
                <w:rFonts w:cstheme="minorHAnsi"/>
                <w:b/>
                <w:bCs/>
                <w:sz w:val="18"/>
                <w:szCs w:val="18"/>
              </w:rPr>
            </w:pPr>
            <w:r w:rsidRPr="00DE68A1">
              <w:rPr>
                <w:rFonts w:ascii="Times New Roman" w:hAnsi="Times New Roman" w:cstheme="minorHAnsi"/>
                <w:b/>
                <w:bCs/>
                <w:sz w:val="18"/>
                <w:szCs w:val="18"/>
              </w:rPr>
              <w:t>Capital &amp; Total Exposures</w:t>
            </w:r>
          </w:p>
        </w:tc>
        <w:tc>
          <w:tcPr>
            <w:tcW w:w="1611" w:type="dxa"/>
            <w:vAlign w:val="center"/>
          </w:tcPr>
          <w:p w14:paraId="1148169B" w14:textId="7E81AA91" w:rsidR="00F27B6A" w:rsidRPr="005C3A76" w:rsidRDefault="00F27B6A" w:rsidP="005C3A76">
            <w:pPr>
              <w:bidi w:val="0"/>
              <w:jc w:val="right"/>
              <w:rPr>
                <w:rFonts w:cstheme="minorHAnsi"/>
                <w:color w:val="000000"/>
                <w:sz w:val="22"/>
                <w:szCs w:val="22"/>
              </w:rPr>
            </w:pPr>
            <w:r w:rsidRPr="005C3A76">
              <w:rPr>
                <w:rFonts w:cstheme="minorHAnsi"/>
                <w:color w:val="000000"/>
                <w:sz w:val="22"/>
                <w:szCs w:val="22"/>
              </w:rPr>
              <w:t> </w:t>
            </w:r>
          </w:p>
        </w:tc>
      </w:tr>
      <w:tr w:rsidR="00F27B6A" w:rsidRPr="00DE68A1" w14:paraId="1F1C9CA0" w14:textId="77777777" w:rsidTr="00E915B3">
        <w:trPr>
          <w:trHeight w:val="217"/>
        </w:trPr>
        <w:tc>
          <w:tcPr>
            <w:tcW w:w="552" w:type="dxa"/>
          </w:tcPr>
          <w:p w14:paraId="7F62D984"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16.</w:t>
            </w:r>
          </w:p>
        </w:tc>
        <w:tc>
          <w:tcPr>
            <w:tcW w:w="4570" w:type="dxa"/>
          </w:tcPr>
          <w:p w14:paraId="0E3FA301" w14:textId="77777777" w:rsidR="00F27B6A" w:rsidRPr="00DE68A1" w:rsidRDefault="00F27B6A" w:rsidP="00F27B6A">
            <w:pPr>
              <w:jc w:val="right"/>
              <w:rPr>
                <w:rFonts w:cstheme="minorHAnsi"/>
                <w:sz w:val="18"/>
                <w:szCs w:val="18"/>
              </w:rPr>
            </w:pPr>
            <w:r w:rsidRPr="00DE68A1">
              <w:rPr>
                <w:rFonts w:ascii="Times New Roman" w:hAnsi="Times New Roman" w:cstheme="minorHAnsi"/>
                <w:sz w:val="18"/>
                <w:szCs w:val="18"/>
              </w:rPr>
              <w:t>Tier 1 Capital</w:t>
            </w:r>
          </w:p>
        </w:tc>
        <w:tc>
          <w:tcPr>
            <w:tcW w:w="1611" w:type="dxa"/>
            <w:vAlign w:val="center"/>
          </w:tcPr>
          <w:p w14:paraId="3A5D0F31" w14:textId="4F798B44" w:rsidR="00F27B6A" w:rsidRPr="005C3A76" w:rsidRDefault="00F27B6A" w:rsidP="005C3A76">
            <w:pPr>
              <w:bidi w:val="0"/>
              <w:jc w:val="right"/>
              <w:rPr>
                <w:rFonts w:cstheme="minorHAnsi"/>
                <w:b/>
                <w:bCs/>
                <w:color w:val="000000"/>
                <w:sz w:val="22"/>
                <w:szCs w:val="22"/>
              </w:rPr>
            </w:pPr>
            <w:r w:rsidRPr="005C3A76">
              <w:rPr>
                <w:rFonts w:cstheme="minorHAnsi"/>
                <w:b/>
                <w:bCs/>
                <w:color w:val="000000"/>
                <w:sz w:val="22"/>
                <w:szCs w:val="22"/>
              </w:rPr>
              <w:t>355,600</w:t>
            </w:r>
          </w:p>
        </w:tc>
      </w:tr>
      <w:tr w:rsidR="00F27B6A" w:rsidRPr="00DE68A1" w14:paraId="0E3AB01C" w14:textId="77777777" w:rsidTr="00E915B3">
        <w:trPr>
          <w:trHeight w:val="226"/>
        </w:trPr>
        <w:tc>
          <w:tcPr>
            <w:tcW w:w="552" w:type="dxa"/>
          </w:tcPr>
          <w:p w14:paraId="27B16717"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17.</w:t>
            </w:r>
          </w:p>
        </w:tc>
        <w:tc>
          <w:tcPr>
            <w:tcW w:w="4570" w:type="dxa"/>
          </w:tcPr>
          <w:p w14:paraId="5BCCA356" w14:textId="77777777" w:rsidR="00F27B6A" w:rsidRPr="00DE68A1" w:rsidRDefault="00F27B6A" w:rsidP="00F27B6A">
            <w:pPr>
              <w:jc w:val="right"/>
              <w:rPr>
                <w:rFonts w:cstheme="minorHAnsi"/>
                <w:sz w:val="18"/>
                <w:szCs w:val="18"/>
              </w:rPr>
            </w:pPr>
            <w:r w:rsidRPr="00DE68A1">
              <w:rPr>
                <w:rFonts w:ascii="Times New Roman" w:hAnsi="Times New Roman" w:cstheme="minorHAnsi"/>
                <w:sz w:val="18"/>
                <w:szCs w:val="18"/>
              </w:rPr>
              <w:t>Total Exposures</w:t>
            </w:r>
          </w:p>
        </w:tc>
        <w:tc>
          <w:tcPr>
            <w:tcW w:w="1611" w:type="dxa"/>
            <w:vAlign w:val="center"/>
          </w:tcPr>
          <w:p w14:paraId="54A30D1B" w14:textId="04E07CA9" w:rsidR="00F27B6A" w:rsidRPr="005C3A76" w:rsidRDefault="00F27B6A" w:rsidP="005C3A76">
            <w:pPr>
              <w:bidi w:val="0"/>
              <w:jc w:val="right"/>
              <w:rPr>
                <w:rFonts w:cstheme="minorHAnsi"/>
                <w:b/>
                <w:bCs/>
                <w:color w:val="000000"/>
                <w:sz w:val="22"/>
                <w:szCs w:val="22"/>
              </w:rPr>
            </w:pPr>
            <w:r w:rsidRPr="005C3A76">
              <w:rPr>
                <w:rFonts w:cstheme="minorHAnsi"/>
                <w:b/>
                <w:bCs/>
                <w:color w:val="000000"/>
                <w:sz w:val="22"/>
                <w:szCs w:val="22"/>
              </w:rPr>
              <w:t>923,324</w:t>
            </w:r>
          </w:p>
        </w:tc>
      </w:tr>
      <w:tr w:rsidR="00F27B6A" w:rsidRPr="00DE68A1" w14:paraId="142E62F1" w14:textId="77777777" w:rsidTr="00E915B3">
        <w:trPr>
          <w:trHeight w:val="217"/>
        </w:trPr>
        <w:tc>
          <w:tcPr>
            <w:tcW w:w="552" w:type="dxa"/>
          </w:tcPr>
          <w:p w14:paraId="7C82D9D7" w14:textId="77777777" w:rsidR="00F27B6A" w:rsidRPr="00DE68A1" w:rsidRDefault="00F27B6A" w:rsidP="00F27B6A">
            <w:pPr>
              <w:jc w:val="center"/>
              <w:rPr>
                <w:rFonts w:cstheme="minorHAnsi"/>
                <w:sz w:val="18"/>
                <w:szCs w:val="18"/>
              </w:rPr>
            </w:pPr>
          </w:p>
        </w:tc>
        <w:tc>
          <w:tcPr>
            <w:tcW w:w="4570" w:type="dxa"/>
            <w:shd w:val="clear" w:color="auto" w:fill="A6A6A6" w:themeFill="background1" w:themeFillShade="A6"/>
          </w:tcPr>
          <w:p w14:paraId="42EC0BBC" w14:textId="77777777" w:rsidR="00F27B6A" w:rsidRPr="00DE68A1" w:rsidRDefault="00F27B6A" w:rsidP="00F27B6A">
            <w:pPr>
              <w:jc w:val="center"/>
              <w:rPr>
                <w:rFonts w:cstheme="minorHAnsi"/>
                <w:b/>
                <w:bCs/>
                <w:sz w:val="18"/>
                <w:szCs w:val="18"/>
              </w:rPr>
            </w:pPr>
            <w:r w:rsidRPr="00DE68A1">
              <w:rPr>
                <w:rFonts w:ascii="Times New Roman" w:hAnsi="Times New Roman" w:cstheme="minorHAnsi"/>
                <w:b/>
                <w:bCs/>
                <w:sz w:val="18"/>
                <w:szCs w:val="18"/>
              </w:rPr>
              <w:t>Leverage Ratio</w:t>
            </w:r>
          </w:p>
        </w:tc>
        <w:tc>
          <w:tcPr>
            <w:tcW w:w="1611" w:type="dxa"/>
            <w:vAlign w:val="center"/>
          </w:tcPr>
          <w:p w14:paraId="748B043C" w14:textId="331B016A" w:rsidR="00F27B6A" w:rsidRPr="005C3A76" w:rsidRDefault="00F27B6A" w:rsidP="005C3A76">
            <w:pPr>
              <w:bidi w:val="0"/>
              <w:jc w:val="right"/>
              <w:rPr>
                <w:rFonts w:cstheme="minorHAnsi"/>
                <w:b/>
                <w:bCs/>
                <w:color w:val="000000"/>
                <w:sz w:val="22"/>
                <w:szCs w:val="22"/>
              </w:rPr>
            </w:pPr>
            <w:r w:rsidRPr="005C3A76">
              <w:rPr>
                <w:rFonts w:cstheme="minorHAnsi"/>
                <w:b/>
                <w:bCs/>
                <w:color w:val="000000"/>
                <w:sz w:val="22"/>
                <w:szCs w:val="22"/>
              </w:rPr>
              <w:t> </w:t>
            </w:r>
          </w:p>
        </w:tc>
      </w:tr>
      <w:tr w:rsidR="00F27B6A" w:rsidRPr="00DE68A1" w14:paraId="5C6CE802" w14:textId="77777777" w:rsidTr="00E915B3">
        <w:trPr>
          <w:trHeight w:val="154"/>
        </w:trPr>
        <w:tc>
          <w:tcPr>
            <w:tcW w:w="552" w:type="dxa"/>
          </w:tcPr>
          <w:p w14:paraId="529675D1" w14:textId="77777777" w:rsidR="00F27B6A" w:rsidRPr="00DE68A1" w:rsidRDefault="00F27B6A" w:rsidP="00F27B6A">
            <w:pPr>
              <w:jc w:val="center"/>
              <w:rPr>
                <w:rFonts w:cstheme="minorHAnsi"/>
                <w:sz w:val="18"/>
                <w:szCs w:val="18"/>
              </w:rPr>
            </w:pPr>
            <w:r w:rsidRPr="00DE68A1">
              <w:rPr>
                <w:rFonts w:ascii="Times New Roman" w:hAnsi="Times New Roman" w:cstheme="minorHAnsi"/>
                <w:sz w:val="18"/>
                <w:szCs w:val="18"/>
              </w:rPr>
              <w:t>18.</w:t>
            </w:r>
          </w:p>
        </w:tc>
        <w:tc>
          <w:tcPr>
            <w:tcW w:w="4570" w:type="dxa"/>
          </w:tcPr>
          <w:p w14:paraId="7132AA97" w14:textId="77777777" w:rsidR="00F27B6A" w:rsidRPr="00DE68A1" w:rsidRDefault="00F27B6A" w:rsidP="00F27B6A">
            <w:pPr>
              <w:jc w:val="right"/>
              <w:rPr>
                <w:rFonts w:cstheme="minorHAnsi"/>
                <w:sz w:val="18"/>
                <w:szCs w:val="18"/>
              </w:rPr>
            </w:pPr>
            <w:r w:rsidRPr="00DE68A1">
              <w:rPr>
                <w:rFonts w:ascii="Times New Roman" w:hAnsi="Times New Roman" w:cstheme="minorHAnsi"/>
                <w:sz w:val="18"/>
                <w:szCs w:val="18"/>
              </w:rPr>
              <w:t>Basel III Leverage Ratio</w:t>
            </w:r>
          </w:p>
        </w:tc>
        <w:tc>
          <w:tcPr>
            <w:tcW w:w="1611" w:type="dxa"/>
            <w:vAlign w:val="center"/>
          </w:tcPr>
          <w:p w14:paraId="3FC750A0" w14:textId="2E1204D1" w:rsidR="00F27B6A" w:rsidRPr="005C3A76" w:rsidRDefault="00F27B6A" w:rsidP="005C3A76">
            <w:pPr>
              <w:bidi w:val="0"/>
              <w:jc w:val="right"/>
              <w:rPr>
                <w:rFonts w:cstheme="minorHAnsi"/>
                <w:b/>
                <w:bCs/>
                <w:color w:val="000000"/>
                <w:sz w:val="22"/>
                <w:szCs w:val="22"/>
              </w:rPr>
            </w:pPr>
            <w:r w:rsidRPr="005C3A76">
              <w:rPr>
                <w:rFonts w:cstheme="minorHAnsi"/>
                <w:b/>
                <w:bCs/>
                <w:color w:val="000000"/>
                <w:sz w:val="22"/>
                <w:szCs w:val="22"/>
              </w:rPr>
              <w:t>38.51%</w:t>
            </w:r>
          </w:p>
        </w:tc>
      </w:tr>
    </w:tbl>
    <w:p w14:paraId="740DD132" w14:textId="77777777" w:rsidR="00BA02C6" w:rsidRPr="00DE68A1" w:rsidRDefault="00BA02C6" w:rsidP="00BA02C6">
      <w:pPr>
        <w:bidi w:val="0"/>
        <w:jc w:val="both"/>
        <w:rPr>
          <w:b/>
        </w:rPr>
      </w:pPr>
    </w:p>
    <w:p w14:paraId="713DB180" w14:textId="77777777" w:rsidR="003508E4" w:rsidRPr="00DE68A1" w:rsidRDefault="003508E4" w:rsidP="00BA02C6">
      <w:pPr>
        <w:bidi w:val="0"/>
        <w:jc w:val="both"/>
        <w:rPr>
          <w:b/>
        </w:rPr>
      </w:pPr>
    </w:p>
    <w:p w14:paraId="2A65559B" w14:textId="77777777" w:rsidR="007F4478" w:rsidRDefault="007F4478" w:rsidP="00657469">
      <w:pPr>
        <w:bidi w:val="0"/>
        <w:jc w:val="both"/>
        <w:rPr>
          <w:b/>
        </w:rPr>
      </w:pPr>
    </w:p>
    <w:p w14:paraId="55BE8CC1" w14:textId="77777777" w:rsidR="007F4478" w:rsidRDefault="007F4478" w:rsidP="007F4478">
      <w:pPr>
        <w:bidi w:val="0"/>
        <w:jc w:val="both"/>
        <w:rPr>
          <w:b/>
        </w:rPr>
      </w:pPr>
    </w:p>
    <w:p w14:paraId="511F5B8E" w14:textId="0C91F05B" w:rsidR="008C6CE1" w:rsidRPr="00DE68A1" w:rsidRDefault="008C6CE1" w:rsidP="007F4478">
      <w:pPr>
        <w:bidi w:val="0"/>
        <w:jc w:val="both"/>
      </w:pPr>
      <w:r w:rsidRPr="00DE68A1">
        <w:rPr>
          <w:b/>
        </w:rPr>
        <w:lastRenderedPageBreak/>
        <w:t xml:space="preserve">Credit </w:t>
      </w:r>
      <w:r w:rsidR="00C5622A" w:rsidRPr="00DE68A1">
        <w:rPr>
          <w:b/>
        </w:rPr>
        <w:t>Risk</w:t>
      </w:r>
      <w:r w:rsidR="00A53B03" w:rsidRPr="00DE68A1">
        <w:rPr>
          <w:b/>
        </w:rPr>
        <w:t xml:space="preserve"> Management</w:t>
      </w:r>
      <w:r w:rsidR="00C5622A" w:rsidRPr="00DE68A1">
        <w:t>:</w:t>
      </w:r>
      <w:r w:rsidRPr="00DE68A1">
        <w:t xml:space="preserve"> </w:t>
      </w:r>
    </w:p>
    <w:p w14:paraId="3B08421C" w14:textId="77777777" w:rsidR="00A53B03" w:rsidRPr="00DE68A1" w:rsidRDefault="00A53B03" w:rsidP="007A1547">
      <w:pPr>
        <w:bidi w:val="0"/>
        <w:jc w:val="both"/>
      </w:pPr>
    </w:p>
    <w:p w14:paraId="46DCF8C0" w14:textId="0AC86F30" w:rsidR="00A53B03" w:rsidRPr="00DE68A1" w:rsidRDefault="00A53B03" w:rsidP="00262829">
      <w:pPr>
        <w:bidi w:val="0"/>
        <w:spacing w:after="200" w:line="276" w:lineRule="auto"/>
        <w:jc w:val="both"/>
        <w:rPr>
          <w:rFonts w:eastAsia="Calibri"/>
        </w:rPr>
      </w:pPr>
      <w:r w:rsidRPr="00DE68A1">
        <w:rPr>
          <w:rFonts w:eastAsia="Calibri"/>
        </w:rPr>
        <w:t>Credit risk is the risk of suffering financial loss should any of the</w:t>
      </w:r>
      <w:r w:rsidR="00334E80" w:rsidRPr="00DE68A1">
        <w:rPr>
          <w:rFonts w:eastAsia="Calibri"/>
        </w:rPr>
        <w:t xml:space="preserve"> </w:t>
      </w:r>
      <w:r w:rsidR="008E1047" w:rsidRPr="00DE68A1">
        <w:rPr>
          <w:rFonts w:eastAsia="Calibri"/>
        </w:rPr>
        <w:t xml:space="preserve">Bank’s customers </w:t>
      </w:r>
      <w:r w:rsidRPr="00DE68A1">
        <w:rPr>
          <w:rFonts w:eastAsia="Calibri"/>
        </w:rPr>
        <w:t xml:space="preserve">or market counterparties fail to </w:t>
      </w:r>
      <w:r w:rsidR="008E1047" w:rsidRPr="00DE68A1">
        <w:rPr>
          <w:rFonts w:eastAsia="Calibri"/>
        </w:rPr>
        <w:t>fulfill</w:t>
      </w:r>
      <w:r w:rsidRPr="00DE68A1">
        <w:rPr>
          <w:rFonts w:eastAsia="Calibri"/>
        </w:rPr>
        <w:t xml:space="preserve"> their</w:t>
      </w:r>
      <w:r w:rsidR="00334E80" w:rsidRPr="00DE68A1">
        <w:rPr>
          <w:rFonts w:eastAsia="Calibri"/>
        </w:rPr>
        <w:t xml:space="preserve"> </w:t>
      </w:r>
      <w:r w:rsidRPr="00DE68A1">
        <w:rPr>
          <w:rFonts w:eastAsia="Calibri"/>
        </w:rPr>
        <w:t xml:space="preserve">contractual obligations to the </w:t>
      </w:r>
      <w:r w:rsidR="008E1047" w:rsidRPr="00DE68A1">
        <w:rPr>
          <w:rFonts w:eastAsia="Calibri"/>
        </w:rPr>
        <w:t>Bank</w:t>
      </w:r>
      <w:r w:rsidRPr="00DE68A1">
        <w:rPr>
          <w:rFonts w:eastAsia="Calibri"/>
        </w:rPr>
        <w:t>.</w:t>
      </w:r>
      <w:r w:rsidR="00334E80" w:rsidRPr="00DE68A1">
        <w:rPr>
          <w:rFonts w:eastAsia="Calibri"/>
        </w:rPr>
        <w:t xml:space="preserve"> </w:t>
      </w:r>
      <w:r w:rsidRPr="00DE68A1">
        <w:rPr>
          <w:rFonts w:eastAsia="Calibri"/>
        </w:rPr>
        <w:t xml:space="preserve">The granting of credit is one of the </w:t>
      </w:r>
      <w:r w:rsidR="008E1047" w:rsidRPr="00DE68A1">
        <w:rPr>
          <w:rFonts w:eastAsia="Calibri"/>
        </w:rPr>
        <w:t>Bank</w:t>
      </w:r>
      <w:r w:rsidRPr="00DE68A1">
        <w:rPr>
          <w:rFonts w:eastAsia="Calibri" w:hint="cs"/>
        </w:rPr>
        <w:t>’</w:t>
      </w:r>
      <w:r w:rsidRPr="00DE68A1">
        <w:rPr>
          <w:rFonts w:eastAsia="Calibri"/>
        </w:rPr>
        <w:t>s major sources of income and,</w:t>
      </w:r>
      <w:r w:rsidR="00334E80" w:rsidRPr="00DE68A1">
        <w:rPr>
          <w:rFonts w:eastAsia="Calibri"/>
        </w:rPr>
        <w:t xml:space="preserve"> </w:t>
      </w:r>
      <w:r w:rsidRPr="00DE68A1">
        <w:rPr>
          <w:rFonts w:eastAsia="Calibri"/>
        </w:rPr>
        <w:t xml:space="preserve">as the most significant </w:t>
      </w:r>
      <w:r w:rsidR="00DE68A1" w:rsidRPr="00DE68A1">
        <w:rPr>
          <w:rFonts w:eastAsia="Calibri"/>
        </w:rPr>
        <w:t>risk,</w:t>
      </w:r>
      <w:r w:rsidRPr="00DE68A1">
        <w:rPr>
          <w:rFonts w:eastAsia="Calibri"/>
        </w:rPr>
        <w:t xml:space="preserve"> the </w:t>
      </w:r>
      <w:r w:rsidR="008E1047" w:rsidRPr="00DE68A1">
        <w:rPr>
          <w:rFonts w:eastAsia="Calibri"/>
        </w:rPr>
        <w:t>Bank</w:t>
      </w:r>
      <w:r w:rsidRPr="00DE68A1">
        <w:rPr>
          <w:rFonts w:eastAsia="Calibri"/>
        </w:rPr>
        <w:t xml:space="preserve"> dedicates considerable resources</w:t>
      </w:r>
      <w:r w:rsidR="008E1047" w:rsidRPr="00DE68A1">
        <w:rPr>
          <w:rFonts w:eastAsia="Calibri"/>
        </w:rPr>
        <w:t xml:space="preserve"> and energy</w:t>
      </w:r>
      <w:r w:rsidR="00334E80" w:rsidRPr="00DE68A1">
        <w:rPr>
          <w:rFonts w:eastAsia="Calibri"/>
        </w:rPr>
        <w:t xml:space="preserve"> </w:t>
      </w:r>
      <w:r w:rsidR="008E1047" w:rsidRPr="00DE68A1">
        <w:rPr>
          <w:rFonts w:eastAsia="Calibri"/>
        </w:rPr>
        <w:t>to control</w:t>
      </w:r>
      <w:r w:rsidRPr="00DE68A1">
        <w:rPr>
          <w:rFonts w:eastAsia="Calibri"/>
        </w:rPr>
        <w:t xml:space="preserve"> it.</w:t>
      </w:r>
    </w:p>
    <w:p w14:paraId="735C4594" w14:textId="0464F41E" w:rsidR="00A53B03" w:rsidRPr="00DE68A1" w:rsidRDefault="00A53B03" w:rsidP="00262829">
      <w:pPr>
        <w:bidi w:val="0"/>
        <w:spacing w:after="200" w:line="276" w:lineRule="auto"/>
        <w:jc w:val="both"/>
        <w:rPr>
          <w:rFonts w:eastAsia="Calibri"/>
        </w:rPr>
      </w:pPr>
      <w:r w:rsidRPr="00DE68A1">
        <w:rPr>
          <w:rFonts w:eastAsia="Calibri"/>
        </w:rPr>
        <w:t xml:space="preserve">The credit risk that the </w:t>
      </w:r>
      <w:r w:rsidR="008E1047" w:rsidRPr="00DE68A1">
        <w:rPr>
          <w:rFonts w:eastAsia="Calibri"/>
        </w:rPr>
        <w:t>Bank</w:t>
      </w:r>
      <w:r w:rsidRPr="00DE68A1">
        <w:rPr>
          <w:rFonts w:eastAsia="Calibri"/>
        </w:rPr>
        <w:t xml:space="preserve"> fac</w:t>
      </w:r>
      <w:r w:rsidR="008E1047" w:rsidRPr="00DE68A1">
        <w:rPr>
          <w:rFonts w:eastAsia="Calibri"/>
        </w:rPr>
        <w:t xml:space="preserve">es </w:t>
      </w:r>
      <w:r w:rsidR="00DE68A1" w:rsidRPr="00DE68A1">
        <w:rPr>
          <w:rFonts w:eastAsia="Calibri"/>
        </w:rPr>
        <w:t>arise</w:t>
      </w:r>
      <w:r w:rsidR="008E1047" w:rsidRPr="00DE68A1">
        <w:rPr>
          <w:rFonts w:eastAsia="Calibri"/>
        </w:rPr>
        <w:t xml:space="preserve"> mainly from project finance and working capital finance.</w:t>
      </w:r>
      <w:r w:rsidR="00086F8F" w:rsidRPr="00DE68A1">
        <w:rPr>
          <w:rFonts w:eastAsia="Calibri"/>
        </w:rPr>
        <w:t xml:space="preserve"> </w:t>
      </w:r>
      <w:r w:rsidR="008E1047" w:rsidRPr="00DE68A1">
        <w:rPr>
          <w:rFonts w:eastAsia="Calibri"/>
        </w:rPr>
        <w:t>The Bank</w:t>
      </w:r>
      <w:r w:rsidRPr="00DE68A1">
        <w:rPr>
          <w:rFonts w:eastAsia="Calibri"/>
        </w:rPr>
        <w:t xml:space="preserve"> is also exposed to other credit risks arising from its tr</w:t>
      </w:r>
      <w:r w:rsidR="008E1047" w:rsidRPr="00DE68A1">
        <w:rPr>
          <w:rFonts w:eastAsia="Calibri"/>
        </w:rPr>
        <w:t>easury</w:t>
      </w:r>
      <w:r w:rsidR="00334E80" w:rsidRPr="00DE68A1">
        <w:rPr>
          <w:rFonts w:eastAsia="Calibri"/>
        </w:rPr>
        <w:t xml:space="preserve"> </w:t>
      </w:r>
      <w:r w:rsidRPr="00DE68A1">
        <w:rPr>
          <w:rFonts w:eastAsia="Calibri"/>
        </w:rPr>
        <w:t>activities, including debt securities, settlement balances with market</w:t>
      </w:r>
      <w:r w:rsidR="00334E80" w:rsidRPr="00DE68A1">
        <w:rPr>
          <w:rFonts w:eastAsia="Calibri"/>
        </w:rPr>
        <w:t xml:space="preserve"> </w:t>
      </w:r>
      <w:r w:rsidRPr="00DE68A1">
        <w:rPr>
          <w:rFonts w:eastAsia="Calibri"/>
        </w:rPr>
        <w:t>counterparties</w:t>
      </w:r>
      <w:r w:rsidR="00334E80" w:rsidRPr="00DE68A1">
        <w:rPr>
          <w:rFonts w:eastAsia="Calibri"/>
        </w:rPr>
        <w:t xml:space="preserve"> and</w:t>
      </w:r>
      <w:r w:rsidRPr="00DE68A1">
        <w:rPr>
          <w:rFonts w:eastAsia="Calibri"/>
        </w:rPr>
        <w:t xml:space="preserve"> available</w:t>
      </w:r>
      <w:r w:rsidR="00DE68A1">
        <w:rPr>
          <w:rFonts w:eastAsia="Calibri"/>
        </w:rPr>
        <w:t>-</w:t>
      </w:r>
      <w:r w:rsidRPr="00DE68A1">
        <w:rPr>
          <w:rFonts w:eastAsia="Calibri"/>
        </w:rPr>
        <w:t>for</w:t>
      </w:r>
      <w:r w:rsidR="00DE68A1">
        <w:rPr>
          <w:rFonts w:eastAsia="Calibri"/>
        </w:rPr>
        <w:t>-</w:t>
      </w:r>
      <w:r w:rsidRPr="00DE68A1">
        <w:rPr>
          <w:rFonts w:eastAsia="Calibri"/>
        </w:rPr>
        <w:t>sale assets</w:t>
      </w:r>
      <w:r w:rsidR="008E1047" w:rsidRPr="00DE68A1">
        <w:rPr>
          <w:rFonts w:eastAsia="Calibri"/>
        </w:rPr>
        <w:t>.</w:t>
      </w:r>
    </w:p>
    <w:p w14:paraId="5CDC83E9" w14:textId="44A0B865" w:rsidR="007A1547" w:rsidRPr="00DE68A1" w:rsidRDefault="00A53B03" w:rsidP="00262829">
      <w:pPr>
        <w:bidi w:val="0"/>
        <w:spacing w:after="200" w:line="276" w:lineRule="auto"/>
        <w:jc w:val="both"/>
        <w:rPr>
          <w:rFonts w:eastAsia="Calibri"/>
        </w:rPr>
      </w:pPr>
      <w:r w:rsidRPr="00DE68A1">
        <w:rPr>
          <w:rFonts w:eastAsia="Calibri"/>
        </w:rPr>
        <w:t xml:space="preserve">The role of </w:t>
      </w:r>
      <w:r w:rsidR="003F08D9" w:rsidRPr="00DE68A1">
        <w:rPr>
          <w:rFonts w:eastAsia="Calibri"/>
        </w:rPr>
        <w:t>the risk management</w:t>
      </w:r>
      <w:r w:rsidR="008E1047" w:rsidRPr="00DE68A1">
        <w:rPr>
          <w:rFonts w:eastAsia="Calibri"/>
        </w:rPr>
        <w:t xml:space="preserve"> </w:t>
      </w:r>
      <w:r w:rsidR="008D774B" w:rsidRPr="00DE68A1">
        <w:rPr>
          <w:rFonts w:eastAsia="Calibri"/>
        </w:rPr>
        <w:t>department</w:t>
      </w:r>
      <w:r w:rsidRPr="00DE68A1">
        <w:rPr>
          <w:rFonts w:eastAsia="Calibri"/>
        </w:rPr>
        <w:t xml:space="preserve"> is to provide </w:t>
      </w:r>
      <w:r w:rsidR="008E1047" w:rsidRPr="00DE68A1">
        <w:rPr>
          <w:rFonts w:eastAsia="Calibri"/>
        </w:rPr>
        <w:t>bank-</w:t>
      </w:r>
      <w:r w:rsidRPr="00DE68A1">
        <w:rPr>
          <w:rFonts w:eastAsia="Calibri"/>
        </w:rPr>
        <w:t>wide direction,</w:t>
      </w:r>
      <w:r w:rsidR="008E1047" w:rsidRPr="00DE68A1">
        <w:rPr>
          <w:rFonts w:eastAsia="Calibri"/>
        </w:rPr>
        <w:t xml:space="preserve"> independent risk assessment, </w:t>
      </w:r>
      <w:r w:rsidRPr="00DE68A1">
        <w:rPr>
          <w:rFonts w:eastAsia="Calibri"/>
        </w:rPr>
        <w:t xml:space="preserve">oversight and challenge of credit risk-taking. </w:t>
      </w:r>
      <w:r w:rsidR="00E3168F" w:rsidRPr="00DE68A1">
        <w:rPr>
          <w:rFonts w:eastAsia="Calibri"/>
        </w:rPr>
        <w:t xml:space="preserve">The Bank has dedicated departmental credit policies reviewed by a </w:t>
      </w:r>
      <w:r w:rsidR="00334E80" w:rsidRPr="00DE68A1">
        <w:rPr>
          <w:rFonts w:eastAsia="Calibri"/>
        </w:rPr>
        <w:t>c</w:t>
      </w:r>
      <w:r w:rsidR="00E3168F" w:rsidRPr="00DE68A1">
        <w:rPr>
          <w:rFonts w:eastAsia="Calibri"/>
        </w:rPr>
        <w:t xml:space="preserve">ommittee for </w:t>
      </w:r>
      <w:r w:rsidR="00334E80" w:rsidRPr="00DE68A1">
        <w:rPr>
          <w:rFonts w:eastAsia="Calibri"/>
        </w:rPr>
        <w:t>p</w:t>
      </w:r>
      <w:r w:rsidR="00E3168F" w:rsidRPr="00DE68A1">
        <w:rPr>
          <w:rFonts w:eastAsia="Calibri"/>
        </w:rPr>
        <w:t xml:space="preserve">olicies and </w:t>
      </w:r>
      <w:r w:rsidR="00334E80" w:rsidRPr="00DE68A1">
        <w:rPr>
          <w:rFonts w:eastAsia="Calibri"/>
        </w:rPr>
        <w:t>p</w:t>
      </w:r>
      <w:r w:rsidR="00E3168F" w:rsidRPr="00DE68A1">
        <w:rPr>
          <w:rFonts w:eastAsia="Calibri"/>
        </w:rPr>
        <w:t xml:space="preserve">rocedures (where the </w:t>
      </w:r>
      <w:r w:rsidR="003F08D9" w:rsidRPr="00DE68A1">
        <w:rPr>
          <w:rFonts w:eastAsia="Calibri"/>
        </w:rPr>
        <w:t xml:space="preserve">CRO </w:t>
      </w:r>
      <w:r w:rsidR="00E3168F" w:rsidRPr="00DE68A1">
        <w:rPr>
          <w:rFonts w:eastAsia="Calibri"/>
        </w:rPr>
        <w:t>is a member). The Board of Directors approves</w:t>
      </w:r>
      <w:r w:rsidRPr="00DE68A1">
        <w:rPr>
          <w:rFonts w:eastAsia="Calibri"/>
        </w:rPr>
        <w:t xml:space="preserve"> the </w:t>
      </w:r>
      <w:r w:rsidR="00E3168F" w:rsidRPr="00DE68A1">
        <w:rPr>
          <w:rFonts w:eastAsia="Calibri"/>
        </w:rPr>
        <w:t>c</w:t>
      </w:r>
      <w:r w:rsidRPr="00DE68A1">
        <w:rPr>
          <w:rFonts w:eastAsia="Calibri"/>
        </w:rPr>
        <w:t xml:space="preserve">redit </w:t>
      </w:r>
      <w:r w:rsidR="00E3168F" w:rsidRPr="00DE68A1">
        <w:rPr>
          <w:rFonts w:eastAsia="Calibri"/>
        </w:rPr>
        <w:t>r</w:t>
      </w:r>
      <w:r w:rsidRPr="00DE68A1">
        <w:rPr>
          <w:rFonts w:eastAsia="Calibri"/>
        </w:rPr>
        <w:t>isk</w:t>
      </w:r>
      <w:r w:rsidR="00E3168F" w:rsidRPr="00DE68A1">
        <w:rPr>
          <w:rFonts w:eastAsia="Calibri"/>
        </w:rPr>
        <w:t xml:space="preserve"> c</w:t>
      </w:r>
      <w:r w:rsidRPr="00DE68A1">
        <w:rPr>
          <w:rFonts w:eastAsia="Calibri"/>
        </w:rPr>
        <w:t xml:space="preserve">ontrol </w:t>
      </w:r>
      <w:r w:rsidR="00E3168F" w:rsidRPr="00DE68A1">
        <w:rPr>
          <w:rFonts w:eastAsia="Calibri"/>
        </w:rPr>
        <w:t>f</w:t>
      </w:r>
      <w:r w:rsidRPr="00DE68A1">
        <w:rPr>
          <w:rFonts w:eastAsia="Calibri"/>
        </w:rPr>
        <w:t>ramework, which provides a structure within which credit risk is</w:t>
      </w:r>
      <w:r w:rsidR="00334E80" w:rsidRPr="00DE68A1">
        <w:rPr>
          <w:rFonts w:eastAsia="Calibri"/>
        </w:rPr>
        <w:t xml:space="preserve"> </w:t>
      </w:r>
      <w:r w:rsidRPr="00DE68A1">
        <w:rPr>
          <w:rFonts w:eastAsia="Calibri"/>
        </w:rPr>
        <w:t xml:space="preserve">managed together with supporting </w:t>
      </w:r>
      <w:r w:rsidR="00E3168F" w:rsidRPr="00DE68A1">
        <w:rPr>
          <w:rFonts w:eastAsia="Calibri"/>
        </w:rPr>
        <w:t>r</w:t>
      </w:r>
      <w:r w:rsidRPr="00DE68A1">
        <w:rPr>
          <w:rFonts w:eastAsia="Calibri"/>
        </w:rPr>
        <w:t xml:space="preserve">isk </w:t>
      </w:r>
      <w:r w:rsidR="00E3168F" w:rsidRPr="00DE68A1">
        <w:rPr>
          <w:rFonts w:eastAsia="Calibri"/>
        </w:rPr>
        <w:t>management departmental p</w:t>
      </w:r>
      <w:r w:rsidRPr="00DE68A1">
        <w:rPr>
          <w:rFonts w:eastAsia="Calibri"/>
        </w:rPr>
        <w:t>olicies.</w:t>
      </w:r>
      <w:r w:rsidR="00334E80" w:rsidRPr="00DE68A1">
        <w:rPr>
          <w:rFonts w:eastAsia="Calibri"/>
        </w:rPr>
        <w:t xml:space="preserve"> </w:t>
      </w:r>
      <w:r w:rsidR="008E1047" w:rsidRPr="00DE68A1">
        <w:rPr>
          <w:rFonts w:eastAsia="Calibri"/>
        </w:rPr>
        <w:t>Loans and advances to customers provide the principal source of credit risk</w:t>
      </w:r>
      <w:r w:rsidR="00334E80" w:rsidRPr="00DE68A1">
        <w:rPr>
          <w:rFonts w:eastAsia="Calibri"/>
        </w:rPr>
        <w:t xml:space="preserve"> </w:t>
      </w:r>
      <w:r w:rsidR="008E1047" w:rsidRPr="00DE68A1">
        <w:rPr>
          <w:rFonts w:eastAsia="Calibri"/>
        </w:rPr>
        <w:t xml:space="preserve">to the Group although </w:t>
      </w:r>
      <w:r w:rsidR="00E3168F" w:rsidRPr="00DE68A1">
        <w:rPr>
          <w:rFonts w:eastAsia="Calibri"/>
        </w:rPr>
        <w:t>the Bank</w:t>
      </w:r>
      <w:r w:rsidR="008E1047" w:rsidRPr="00DE68A1">
        <w:rPr>
          <w:rFonts w:eastAsia="Calibri"/>
        </w:rPr>
        <w:t xml:space="preserve"> can also be exposed to other forms of credit</w:t>
      </w:r>
      <w:r w:rsidR="00BA1969" w:rsidRPr="00DE68A1">
        <w:rPr>
          <w:rFonts w:eastAsia="Calibri"/>
        </w:rPr>
        <w:t xml:space="preserve"> </w:t>
      </w:r>
      <w:r w:rsidR="008E1047" w:rsidRPr="00DE68A1">
        <w:rPr>
          <w:rFonts w:eastAsia="Calibri"/>
        </w:rPr>
        <w:t>risk through, for example, loans to banks, loan commitments and debt</w:t>
      </w:r>
      <w:r w:rsidR="00334E80" w:rsidRPr="00DE68A1">
        <w:rPr>
          <w:rFonts w:eastAsia="Calibri"/>
        </w:rPr>
        <w:t xml:space="preserve"> </w:t>
      </w:r>
      <w:r w:rsidR="007A1547" w:rsidRPr="00DE68A1">
        <w:rPr>
          <w:rFonts w:eastAsia="Calibri"/>
        </w:rPr>
        <w:t>securities. The</w:t>
      </w:r>
      <w:r w:rsidR="00E3168F" w:rsidRPr="00DE68A1">
        <w:rPr>
          <w:rFonts w:eastAsia="Calibri"/>
        </w:rPr>
        <w:t xml:space="preserve"> Bank’s</w:t>
      </w:r>
      <w:r w:rsidR="008E1047" w:rsidRPr="00DE68A1">
        <w:rPr>
          <w:rFonts w:eastAsia="Calibri"/>
        </w:rPr>
        <w:t xml:space="preserve"> risk management policies and proce</w:t>
      </w:r>
      <w:r w:rsidR="00E3168F" w:rsidRPr="00DE68A1">
        <w:rPr>
          <w:rFonts w:eastAsia="Calibri"/>
        </w:rPr>
        <w:t>dures</w:t>
      </w:r>
      <w:r w:rsidR="008E1047" w:rsidRPr="00DE68A1">
        <w:rPr>
          <w:rFonts w:eastAsia="Calibri"/>
        </w:rPr>
        <w:t xml:space="preserve"> are designed to</w:t>
      </w:r>
      <w:r w:rsidR="007A1547" w:rsidRPr="00DE68A1">
        <w:rPr>
          <w:rFonts w:eastAsia="Calibri"/>
        </w:rPr>
        <w:t xml:space="preserve"> </w:t>
      </w:r>
      <w:r w:rsidR="008E1047" w:rsidRPr="00DE68A1">
        <w:rPr>
          <w:rFonts w:eastAsia="Calibri"/>
        </w:rPr>
        <w:t xml:space="preserve">identify and </w:t>
      </w:r>
      <w:r w:rsidR="00E3168F" w:rsidRPr="00DE68A1">
        <w:rPr>
          <w:rFonts w:eastAsia="Calibri"/>
        </w:rPr>
        <w:t>analyze</w:t>
      </w:r>
      <w:r w:rsidR="008E1047" w:rsidRPr="00DE68A1">
        <w:rPr>
          <w:rFonts w:eastAsia="Calibri"/>
        </w:rPr>
        <w:t xml:space="preserve"> risk, to set appropriate risk appetite, limits and controls,</w:t>
      </w:r>
      <w:r w:rsidR="007A1547" w:rsidRPr="00DE68A1">
        <w:rPr>
          <w:rFonts w:eastAsia="Calibri"/>
        </w:rPr>
        <w:t xml:space="preserve"> </w:t>
      </w:r>
      <w:r w:rsidR="008E1047" w:rsidRPr="00DE68A1">
        <w:rPr>
          <w:rFonts w:eastAsia="Calibri"/>
        </w:rPr>
        <w:t>and to monitor the risks</w:t>
      </w:r>
      <w:r w:rsidR="007A1547" w:rsidRPr="00DE68A1">
        <w:rPr>
          <w:rFonts w:eastAsia="Calibri"/>
        </w:rPr>
        <w:t>, delinquency</w:t>
      </w:r>
      <w:r w:rsidR="00DE68A1" w:rsidRPr="00DE68A1">
        <w:rPr>
          <w:rFonts w:eastAsia="Calibri"/>
        </w:rPr>
        <w:t>, and adequacy</w:t>
      </w:r>
      <w:r w:rsidR="007A1547" w:rsidRPr="00DE68A1">
        <w:rPr>
          <w:rFonts w:eastAsia="Calibri"/>
        </w:rPr>
        <w:t xml:space="preserve"> of follow up</w:t>
      </w:r>
      <w:r w:rsidR="008E1047" w:rsidRPr="00DE68A1">
        <w:rPr>
          <w:rFonts w:eastAsia="Calibri"/>
        </w:rPr>
        <w:t xml:space="preserve"> and </w:t>
      </w:r>
      <w:r w:rsidR="007A1547" w:rsidRPr="00DE68A1">
        <w:rPr>
          <w:rFonts w:eastAsia="Calibri"/>
        </w:rPr>
        <w:t>rating assessments</w:t>
      </w:r>
      <w:r w:rsidR="008E1047" w:rsidRPr="00DE68A1">
        <w:rPr>
          <w:rFonts w:eastAsia="Calibri"/>
        </w:rPr>
        <w:t>.</w:t>
      </w:r>
      <w:r w:rsidR="007A1547" w:rsidRPr="00DE68A1">
        <w:rPr>
          <w:rFonts w:eastAsia="Calibri"/>
        </w:rPr>
        <w:t xml:space="preserve"> </w:t>
      </w:r>
      <w:r w:rsidR="003F08D9" w:rsidRPr="00DE68A1">
        <w:rPr>
          <w:rFonts w:eastAsia="Calibri"/>
        </w:rPr>
        <w:t xml:space="preserve">The risk management department independently reviews </w:t>
      </w:r>
      <w:r w:rsidR="00892F68" w:rsidRPr="00DE68A1">
        <w:rPr>
          <w:rFonts w:eastAsia="Calibri"/>
        </w:rPr>
        <w:t xml:space="preserve">and rates </w:t>
      </w:r>
      <w:r w:rsidR="003F08D9" w:rsidRPr="00DE68A1">
        <w:rPr>
          <w:rFonts w:eastAsia="Calibri"/>
        </w:rPr>
        <w:t xml:space="preserve">all </w:t>
      </w:r>
      <w:r w:rsidR="00892F68" w:rsidRPr="00DE68A1">
        <w:rPr>
          <w:rFonts w:eastAsia="Calibri"/>
        </w:rPr>
        <w:t xml:space="preserve">individual </w:t>
      </w:r>
      <w:r w:rsidR="003F08D9" w:rsidRPr="00DE68A1">
        <w:rPr>
          <w:rFonts w:eastAsia="Calibri"/>
        </w:rPr>
        <w:t xml:space="preserve">credit proposals </w:t>
      </w:r>
      <w:r w:rsidR="00892F68" w:rsidRPr="00DE68A1">
        <w:rPr>
          <w:rFonts w:eastAsia="Calibri"/>
        </w:rPr>
        <w:t xml:space="preserve">generated by the two credit granting departments, relating to project finance and commercial, working capital and trade finance. It also </w:t>
      </w:r>
      <w:r w:rsidR="00361712" w:rsidRPr="00DE68A1">
        <w:rPr>
          <w:rFonts w:eastAsia="Calibri"/>
        </w:rPr>
        <w:t>quantifies</w:t>
      </w:r>
      <w:r w:rsidR="00892F68" w:rsidRPr="00DE68A1">
        <w:rPr>
          <w:rFonts w:eastAsia="Calibri"/>
        </w:rPr>
        <w:t xml:space="preserve"> reviews and monitors the quality and movement of the overall credit portfolio of the Bank.</w:t>
      </w:r>
    </w:p>
    <w:p w14:paraId="04C79D18" w14:textId="7B7895C2" w:rsidR="008E1047" w:rsidRPr="00DE68A1" w:rsidRDefault="008E1047" w:rsidP="002A1B5D">
      <w:pPr>
        <w:bidi w:val="0"/>
        <w:spacing w:after="200" w:line="276" w:lineRule="auto"/>
        <w:jc w:val="both"/>
        <w:rPr>
          <w:rFonts w:eastAsia="Calibri"/>
          <w:rtl/>
        </w:rPr>
      </w:pPr>
      <w:r w:rsidRPr="00DE68A1">
        <w:rPr>
          <w:rFonts w:eastAsia="Calibri"/>
        </w:rPr>
        <w:t xml:space="preserve">One area of </w:t>
      </w:r>
      <w:r w:rsidR="001D2EA5" w:rsidRPr="00DE68A1">
        <w:rPr>
          <w:rFonts w:eastAsia="Calibri"/>
        </w:rPr>
        <w:t>review</w:t>
      </w:r>
      <w:r w:rsidRPr="00DE68A1">
        <w:rPr>
          <w:rFonts w:eastAsia="Calibri"/>
        </w:rPr>
        <w:t xml:space="preserve"> is concentration risk. </w:t>
      </w:r>
      <w:r w:rsidR="002A1B5D">
        <w:rPr>
          <w:rFonts w:eastAsia="Calibri"/>
        </w:rPr>
        <w:t>Credit</w:t>
      </w:r>
      <w:r w:rsidRPr="00DE68A1">
        <w:rPr>
          <w:rFonts w:eastAsia="Calibri"/>
        </w:rPr>
        <w:t xml:space="preserve"> concentration </w:t>
      </w:r>
      <w:r w:rsidR="002A1B5D">
        <w:rPr>
          <w:rFonts w:eastAsia="Calibri"/>
        </w:rPr>
        <w:t xml:space="preserve">risk </w:t>
      </w:r>
      <w:r w:rsidRPr="00DE68A1">
        <w:rPr>
          <w:rFonts w:eastAsia="Calibri"/>
        </w:rPr>
        <w:t>exists when a number of c</w:t>
      </w:r>
      <w:r w:rsidR="00E3168F" w:rsidRPr="00DE68A1">
        <w:rPr>
          <w:rFonts w:eastAsia="Calibri"/>
        </w:rPr>
        <w:t xml:space="preserve">ustomers belong to the </w:t>
      </w:r>
      <w:r w:rsidR="001D2EA5" w:rsidRPr="00DE68A1">
        <w:rPr>
          <w:rFonts w:eastAsia="Calibri"/>
        </w:rPr>
        <w:t>same group</w:t>
      </w:r>
      <w:r w:rsidR="00057ECA" w:rsidRPr="00DE68A1">
        <w:rPr>
          <w:rFonts w:eastAsia="Calibri"/>
        </w:rPr>
        <w:t xml:space="preserve"> or</w:t>
      </w:r>
      <w:r w:rsidRPr="00DE68A1">
        <w:rPr>
          <w:rFonts w:eastAsia="Calibri"/>
        </w:rPr>
        <w:t xml:space="preserve"> are engaged in similar</w:t>
      </w:r>
      <w:r w:rsidR="007A1547" w:rsidRPr="00DE68A1">
        <w:rPr>
          <w:rFonts w:eastAsia="Calibri"/>
        </w:rPr>
        <w:t xml:space="preserve"> </w:t>
      </w:r>
      <w:r w:rsidRPr="00DE68A1">
        <w:rPr>
          <w:rFonts w:eastAsia="Calibri"/>
        </w:rPr>
        <w:t>activities and have similar economic characteristics that would cause their</w:t>
      </w:r>
      <w:r w:rsidR="007A1547" w:rsidRPr="00DE68A1">
        <w:rPr>
          <w:rFonts w:eastAsia="Calibri"/>
        </w:rPr>
        <w:t xml:space="preserve"> </w:t>
      </w:r>
      <w:r w:rsidRPr="00DE68A1">
        <w:rPr>
          <w:rFonts w:eastAsia="Calibri"/>
        </w:rPr>
        <w:t>ability to meet contractual obligations to be similarly affected by changes in</w:t>
      </w:r>
      <w:r w:rsidR="007A1547" w:rsidRPr="00DE68A1">
        <w:rPr>
          <w:rFonts w:eastAsia="Calibri"/>
        </w:rPr>
        <w:t xml:space="preserve"> </w:t>
      </w:r>
      <w:r w:rsidRPr="00DE68A1">
        <w:rPr>
          <w:rFonts w:eastAsia="Calibri"/>
        </w:rPr>
        <w:t xml:space="preserve">economic and other </w:t>
      </w:r>
      <w:r w:rsidR="00E3168F" w:rsidRPr="00DE68A1">
        <w:rPr>
          <w:rFonts w:eastAsia="Calibri"/>
        </w:rPr>
        <w:t xml:space="preserve">business </w:t>
      </w:r>
      <w:r w:rsidR="007A1547" w:rsidRPr="00DE68A1">
        <w:rPr>
          <w:rFonts w:eastAsia="Calibri"/>
        </w:rPr>
        <w:t>conditions. As</w:t>
      </w:r>
      <w:r w:rsidRPr="00DE68A1">
        <w:rPr>
          <w:rFonts w:eastAsia="Calibri"/>
        </w:rPr>
        <w:t xml:space="preserve"> a result, </w:t>
      </w:r>
      <w:r w:rsidR="00E3168F" w:rsidRPr="00DE68A1">
        <w:rPr>
          <w:rFonts w:eastAsia="Calibri"/>
        </w:rPr>
        <w:t>the Bank</w:t>
      </w:r>
      <w:r w:rsidRPr="00DE68A1">
        <w:rPr>
          <w:rFonts w:eastAsia="Calibri"/>
        </w:rPr>
        <w:t xml:space="preserve"> constantly reviews its concentration </w:t>
      </w:r>
      <w:r w:rsidR="001D2EA5" w:rsidRPr="00DE68A1">
        <w:rPr>
          <w:rFonts w:eastAsia="Calibri"/>
        </w:rPr>
        <w:t>in several</w:t>
      </w:r>
      <w:r w:rsidR="007A1547" w:rsidRPr="00DE68A1">
        <w:rPr>
          <w:rFonts w:eastAsia="Calibri"/>
        </w:rPr>
        <w:t xml:space="preserve"> </w:t>
      </w:r>
      <w:r w:rsidRPr="00DE68A1">
        <w:rPr>
          <w:rFonts w:eastAsia="Calibri"/>
        </w:rPr>
        <w:t>areas including, fo</w:t>
      </w:r>
      <w:r w:rsidR="00E3168F" w:rsidRPr="00DE68A1">
        <w:rPr>
          <w:rFonts w:eastAsia="Calibri"/>
        </w:rPr>
        <w:t xml:space="preserve">r example, geography, </w:t>
      </w:r>
      <w:r w:rsidR="007A1547" w:rsidRPr="00DE68A1">
        <w:rPr>
          <w:rFonts w:eastAsia="Calibri"/>
        </w:rPr>
        <w:t>maturity, industrial</w:t>
      </w:r>
      <w:r w:rsidR="00E3168F" w:rsidRPr="00DE68A1">
        <w:rPr>
          <w:rFonts w:eastAsia="Calibri"/>
        </w:rPr>
        <w:t xml:space="preserve"> sector and group control.</w:t>
      </w:r>
      <w:r w:rsidR="007A1547" w:rsidRPr="00DE68A1">
        <w:rPr>
          <w:rFonts w:eastAsia="Calibri"/>
        </w:rPr>
        <w:t xml:space="preserve"> </w:t>
      </w:r>
      <w:r w:rsidRPr="00DE68A1">
        <w:rPr>
          <w:rFonts w:eastAsia="Calibri"/>
        </w:rPr>
        <w:t>Diversification is achieved through setting maximum exposure</w:t>
      </w:r>
      <w:r w:rsidR="007A1547" w:rsidRPr="00DE68A1">
        <w:rPr>
          <w:rFonts w:eastAsia="Calibri"/>
        </w:rPr>
        <w:t xml:space="preserve"> </w:t>
      </w:r>
      <w:r w:rsidRPr="00DE68A1">
        <w:rPr>
          <w:rFonts w:eastAsia="Calibri"/>
        </w:rPr>
        <w:t>guidelines to individual counterparties</w:t>
      </w:r>
      <w:r w:rsidR="00E3168F" w:rsidRPr="00DE68A1">
        <w:rPr>
          <w:rFonts w:eastAsia="Calibri"/>
        </w:rPr>
        <w:t xml:space="preserve"> not exceeding 15% of capital</w:t>
      </w:r>
      <w:r w:rsidRPr="00DE68A1">
        <w:rPr>
          <w:rFonts w:eastAsia="Calibri"/>
        </w:rPr>
        <w:t xml:space="preserve">. </w:t>
      </w:r>
      <w:r w:rsidR="00361712" w:rsidRPr="00DE68A1">
        <w:rPr>
          <w:rFonts w:eastAsia="Calibri"/>
        </w:rPr>
        <w:t>However, given the specific mandate to operate within the industrial sectors, concentration risk is on the higher side.</w:t>
      </w:r>
      <w:r w:rsidR="00E40AC9" w:rsidRPr="00DE68A1">
        <w:rPr>
          <w:rFonts w:eastAsia="Calibri"/>
        </w:rPr>
        <w:t xml:space="preserve"> Mitigation of this risk is provided through high distortionary position, high capital adequacy and high liquidity</w:t>
      </w:r>
    </w:p>
    <w:p w14:paraId="1E8F0977" w14:textId="77777777" w:rsidR="008C6CE1" w:rsidRPr="00DE68A1" w:rsidRDefault="008C6CE1" w:rsidP="00262829">
      <w:pPr>
        <w:bidi w:val="0"/>
        <w:spacing w:after="200" w:line="276" w:lineRule="auto"/>
        <w:jc w:val="both"/>
        <w:rPr>
          <w:rFonts w:eastAsia="Calibri"/>
        </w:rPr>
      </w:pPr>
      <w:r w:rsidRPr="00DE68A1">
        <w:rPr>
          <w:rFonts w:eastAsia="Calibri"/>
        </w:rPr>
        <w:t xml:space="preserve">The Bank has in place a system for </w:t>
      </w:r>
      <w:r w:rsidR="007A1547" w:rsidRPr="00DE68A1">
        <w:rPr>
          <w:rFonts w:eastAsia="Calibri"/>
        </w:rPr>
        <w:t xml:space="preserve">internal </w:t>
      </w:r>
      <w:r w:rsidRPr="00DE68A1">
        <w:rPr>
          <w:rFonts w:eastAsia="Calibri"/>
        </w:rPr>
        <w:t xml:space="preserve">credit risk rating of all exposures on a scale of 1 to 10. Risk Management </w:t>
      </w:r>
      <w:r w:rsidR="006A45C9" w:rsidRPr="00DE68A1">
        <w:rPr>
          <w:rFonts w:eastAsia="Calibri"/>
        </w:rPr>
        <w:t xml:space="preserve">recommends credit ratings for new clients and periodically </w:t>
      </w:r>
      <w:r w:rsidRPr="00DE68A1">
        <w:rPr>
          <w:rFonts w:eastAsia="Calibri"/>
        </w:rPr>
        <w:t xml:space="preserve">reviews all </w:t>
      </w:r>
      <w:r w:rsidR="006A45C9" w:rsidRPr="00DE68A1">
        <w:rPr>
          <w:rFonts w:eastAsia="Calibri"/>
        </w:rPr>
        <w:t xml:space="preserve">existing </w:t>
      </w:r>
      <w:r w:rsidRPr="00DE68A1">
        <w:rPr>
          <w:rFonts w:eastAsia="Calibri"/>
        </w:rPr>
        <w:t xml:space="preserve">borrower ratings in the Bank using well defined </w:t>
      </w:r>
      <w:r w:rsidR="006A45C9" w:rsidRPr="00DE68A1">
        <w:rPr>
          <w:rFonts w:eastAsia="Calibri"/>
        </w:rPr>
        <w:t xml:space="preserve">internal </w:t>
      </w:r>
      <w:r w:rsidRPr="00DE68A1">
        <w:rPr>
          <w:rFonts w:eastAsia="Calibri"/>
        </w:rPr>
        <w:t xml:space="preserve">rating parameters. </w:t>
      </w:r>
      <w:r w:rsidR="006A45C9" w:rsidRPr="00DE68A1">
        <w:rPr>
          <w:rFonts w:eastAsia="Calibri"/>
        </w:rPr>
        <w:t xml:space="preserve">Risk Management tracks the weighted average </w:t>
      </w:r>
      <w:r w:rsidR="007A1547" w:rsidRPr="00DE68A1">
        <w:rPr>
          <w:rFonts w:eastAsia="Calibri"/>
        </w:rPr>
        <w:t xml:space="preserve">rating of the </w:t>
      </w:r>
      <w:r w:rsidR="006A45C9" w:rsidRPr="00DE68A1">
        <w:rPr>
          <w:rFonts w:eastAsia="Calibri"/>
        </w:rPr>
        <w:t>credit portfolio and each risk category within the portfolio.</w:t>
      </w:r>
      <w:r w:rsidRPr="00DE68A1">
        <w:rPr>
          <w:rFonts w:eastAsia="Calibri"/>
        </w:rPr>
        <w:t xml:space="preserve"> </w:t>
      </w:r>
    </w:p>
    <w:p w14:paraId="515EB101" w14:textId="77777777" w:rsidR="008C6CE1" w:rsidRPr="00DE68A1" w:rsidRDefault="008C6CE1" w:rsidP="00262829">
      <w:pPr>
        <w:bidi w:val="0"/>
        <w:spacing w:after="200" w:line="276" w:lineRule="auto"/>
        <w:jc w:val="both"/>
        <w:rPr>
          <w:rFonts w:eastAsia="Calibri"/>
        </w:rPr>
      </w:pPr>
      <w:r w:rsidRPr="00DE68A1">
        <w:rPr>
          <w:rFonts w:eastAsia="Calibri"/>
        </w:rPr>
        <w:t xml:space="preserve">In order to mitigate credit risk, exposures are usually secured by acceptable collateral. </w:t>
      </w:r>
      <w:r w:rsidR="008E6783" w:rsidRPr="00DE68A1">
        <w:rPr>
          <w:rFonts w:eastAsia="Calibri"/>
        </w:rPr>
        <w:t xml:space="preserve">The existing </w:t>
      </w:r>
      <w:r w:rsidRPr="00DE68A1">
        <w:rPr>
          <w:rFonts w:eastAsia="Calibri"/>
        </w:rPr>
        <w:t xml:space="preserve">portfolio of loans and advances reflects the Bank’s emphasis on lending inside </w:t>
      </w:r>
      <w:smartTag w:uri="urn:schemas-microsoft-com:office:smarttags" w:element="country-region">
        <w:r w:rsidRPr="00DE68A1">
          <w:rPr>
            <w:rFonts w:eastAsia="Calibri"/>
          </w:rPr>
          <w:t>Kuwait</w:t>
        </w:r>
      </w:smartTag>
      <w:r w:rsidRPr="00DE68A1">
        <w:rPr>
          <w:rFonts w:eastAsia="Calibri"/>
        </w:rPr>
        <w:t xml:space="preserve"> and in particular to industrial units in </w:t>
      </w:r>
      <w:smartTag w:uri="urn:schemas-microsoft-com:office:smarttags" w:element="place">
        <w:smartTag w:uri="urn:schemas-microsoft-com:office:smarttags" w:element="country-region">
          <w:r w:rsidRPr="00DE68A1">
            <w:rPr>
              <w:rFonts w:eastAsia="Calibri"/>
            </w:rPr>
            <w:t>Kuwait</w:t>
          </w:r>
        </w:smartTag>
      </w:smartTag>
      <w:r w:rsidRPr="00DE68A1">
        <w:rPr>
          <w:rFonts w:eastAsia="Calibri"/>
        </w:rPr>
        <w:t xml:space="preserve"> - a country whose dynamics the Bank comprehends well and where the Bank has a better understanding of the inherent risks. The Bank </w:t>
      </w:r>
      <w:r w:rsidR="008E6783" w:rsidRPr="00DE68A1">
        <w:rPr>
          <w:rFonts w:eastAsia="Calibri"/>
        </w:rPr>
        <w:t xml:space="preserve">has credit </w:t>
      </w:r>
      <w:r w:rsidR="008E6783" w:rsidRPr="00DE68A1">
        <w:rPr>
          <w:rFonts w:eastAsia="Calibri"/>
        </w:rPr>
        <w:lastRenderedPageBreak/>
        <w:t>concentration to the industrial sector due to</w:t>
      </w:r>
      <w:r w:rsidR="006A45C9" w:rsidRPr="00DE68A1">
        <w:rPr>
          <w:rFonts w:eastAsia="Calibri"/>
        </w:rPr>
        <w:t xml:space="preserve"> the terms of its</w:t>
      </w:r>
      <w:r w:rsidR="008E6783" w:rsidRPr="00DE68A1">
        <w:rPr>
          <w:rFonts w:eastAsia="Calibri"/>
        </w:rPr>
        <w:t xml:space="preserve"> constitution.</w:t>
      </w:r>
      <w:r w:rsidR="006A45C9" w:rsidRPr="00DE68A1">
        <w:rPr>
          <w:rFonts w:eastAsia="Calibri"/>
        </w:rPr>
        <w:t xml:space="preserve"> </w:t>
      </w:r>
      <w:r w:rsidR="008E6783" w:rsidRPr="00DE68A1">
        <w:rPr>
          <w:rFonts w:eastAsia="Calibri"/>
        </w:rPr>
        <w:t xml:space="preserve">The Bank manages the risk </w:t>
      </w:r>
      <w:r w:rsidRPr="00DE68A1">
        <w:rPr>
          <w:rFonts w:eastAsia="Calibri"/>
        </w:rPr>
        <w:t>by avoiding concentration by obligor, by</w:t>
      </w:r>
      <w:r w:rsidR="008E6783" w:rsidRPr="00DE68A1">
        <w:rPr>
          <w:rFonts w:eastAsia="Calibri"/>
        </w:rPr>
        <w:t xml:space="preserve"> a particular industry</w:t>
      </w:r>
      <w:r w:rsidRPr="00DE68A1">
        <w:rPr>
          <w:rFonts w:eastAsia="Calibri"/>
        </w:rPr>
        <w:t xml:space="preserve"> and, in the case of cross border exposures</w:t>
      </w:r>
      <w:r w:rsidR="007231AB" w:rsidRPr="00DE68A1">
        <w:rPr>
          <w:rFonts w:eastAsia="Calibri"/>
        </w:rPr>
        <w:t>,</w:t>
      </w:r>
      <w:r w:rsidR="006A45C9" w:rsidRPr="00DE68A1">
        <w:rPr>
          <w:rFonts w:eastAsia="Calibri"/>
        </w:rPr>
        <w:t xml:space="preserve"> </w:t>
      </w:r>
      <w:r w:rsidRPr="00DE68A1">
        <w:rPr>
          <w:rFonts w:eastAsia="Calibri"/>
        </w:rPr>
        <w:t>by geographical area</w:t>
      </w:r>
      <w:r w:rsidR="006A45C9" w:rsidRPr="00DE68A1">
        <w:rPr>
          <w:rFonts w:eastAsia="Calibri"/>
        </w:rPr>
        <w:t>.</w:t>
      </w:r>
    </w:p>
    <w:p w14:paraId="398881E8" w14:textId="4D4C9BE3" w:rsidR="008C6CE1" w:rsidRPr="00DE68A1" w:rsidRDefault="008C6CE1" w:rsidP="00262829">
      <w:pPr>
        <w:bidi w:val="0"/>
        <w:spacing w:after="200" w:line="276" w:lineRule="auto"/>
        <w:jc w:val="both"/>
        <w:rPr>
          <w:rFonts w:eastAsia="Calibri"/>
        </w:rPr>
      </w:pPr>
      <w:r w:rsidRPr="00DE68A1">
        <w:rPr>
          <w:rFonts w:eastAsia="Calibri"/>
        </w:rPr>
        <w:t xml:space="preserve">Special attention is paid to overdue accounts by </w:t>
      </w:r>
      <w:r w:rsidR="00DE68A1" w:rsidRPr="00DE68A1">
        <w:rPr>
          <w:rFonts w:eastAsia="Calibri"/>
        </w:rPr>
        <w:t>committees,</w:t>
      </w:r>
      <w:r w:rsidRPr="00DE68A1">
        <w:rPr>
          <w:rFonts w:eastAsia="Calibri"/>
        </w:rPr>
        <w:t xml:space="preserve"> especially set up for this purpose. </w:t>
      </w:r>
      <w:r w:rsidR="00F13429" w:rsidRPr="00DE68A1">
        <w:rPr>
          <w:rFonts w:eastAsia="Calibri"/>
        </w:rPr>
        <w:t>Follow-up</w:t>
      </w:r>
      <w:r w:rsidRPr="00DE68A1">
        <w:rPr>
          <w:rFonts w:eastAsia="Calibri"/>
        </w:rPr>
        <w:t xml:space="preserve"> measures are </w:t>
      </w:r>
      <w:r w:rsidR="001D2EA5" w:rsidRPr="00DE68A1">
        <w:rPr>
          <w:rFonts w:eastAsia="Calibri"/>
        </w:rPr>
        <w:t>discussed,</w:t>
      </w:r>
      <w:r w:rsidRPr="00DE68A1">
        <w:rPr>
          <w:rFonts w:eastAsia="Calibri"/>
        </w:rPr>
        <w:t xml:space="preserve"> and remedial action </w:t>
      </w:r>
      <w:r w:rsidR="00DE68A1" w:rsidRPr="00DE68A1">
        <w:rPr>
          <w:rFonts w:eastAsia="Calibri"/>
        </w:rPr>
        <w:t>is taken</w:t>
      </w:r>
      <w:r w:rsidRPr="00DE68A1">
        <w:rPr>
          <w:rFonts w:eastAsia="Calibri"/>
        </w:rPr>
        <w:t>. If required, appropriate provisioning levels are determined.</w:t>
      </w:r>
    </w:p>
    <w:p w14:paraId="0DAC223E" w14:textId="77777777" w:rsidR="008C6CE1" w:rsidRPr="00DE68A1" w:rsidRDefault="008C6CE1" w:rsidP="00262829">
      <w:pPr>
        <w:bidi w:val="0"/>
        <w:spacing w:after="200" w:line="276" w:lineRule="auto"/>
        <w:jc w:val="both"/>
        <w:rPr>
          <w:rFonts w:eastAsia="Calibri"/>
        </w:rPr>
      </w:pPr>
      <w:r w:rsidRPr="00DE68A1">
        <w:rPr>
          <w:rFonts w:eastAsia="Calibri"/>
        </w:rPr>
        <w:t>At both the departmental level as well as the overall bank level, disciplined credit processes are in place. The processes are intended to ensure that risks are accurately assessed, properly approved and continuously monitored. The primary tool for managing credit risk is a set of</w:t>
      </w:r>
      <w:r w:rsidR="00C56DFE" w:rsidRPr="00DE68A1">
        <w:rPr>
          <w:rFonts w:eastAsia="Calibri"/>
        </w:rPr>
        <w:t xml:space="preserve"> credit policies and procedures that are periodically </w:t>
      </w:r>
      <w:r w:rsidR="003C7829" w:rsidRPr="00DE68A1">
        <w:rPr>
          <w:rFonts w:eastAsia="Calibri"/>
        </w:rPr>
        <w:t xml:space="preserve">reviewed and updated. </w:t>
      </w:r>
      <w:r w:rsidRPr="00DE68A1">
        <w:rPr>
          <w:rFonts w:eastAsia="Calibri"/>
        </w:rPr>
        <w:t>A stringent approval framework exists in the Bank which mandates a rigorous and thorough evaluation of the creditworthiness of every obligor.</w:t>
      </w:r>
      <w:r w:rsidR="00C56DFE" w:rsidRPr="00DE68A1">
        <w:rPr>
          <w:rFonts w:eastAsia="Calibri"/>
        </w:rPr>
        <w:t xml:space="preserve"> All credit and investment </w:t>
      </w:r>
      <w:r w:rsidR="00892F68" w:rsidRPr="00DE68A1">
        <w:rPr>
          <w:rFonts w:eastAsia="Calibri"/>
        </w:rPr>
        <w:t>proposals and their</w:t>
      </w:r>
      <w:r w:rsidR="00BA192F" w:rsidRPr="00DE68A1">
        <w:rPr>
          <w:rFonts w:eastAsia="Calibri"/>
        </w:rPr>
        <w:t xml:space="preserve"> extensions and renewals of existing credits </w:t>
      </w:r>
      <w:r w:rsidR="00C56DFE" w:rsidRPr="00DE68A1">
        <w:rPr>
          <w:rFonts w:eastAsia="Calibri"/>
        </w:rPr>
        <w:t>are assessed by Risk Management.</w:t>
      </w:r>
    </w:p>
    <w:p w14:paraId="64FBE9CD" w14:textId="77777777" w:rsidR="008C6CE1" w:rsidRPr="00DE68A1" w:rsidRDefault="008C6CE1" w:rsidP="00262829">
      <w:pPr>
        <w:bidi w:val="0"/>
        <w:spacing w:after="200" w:line="276" w:lineRule="auto"/>
        <w:jc w:val="both"/>
        <w:rPr>
          <w:rFonts w:eastAsia="Calibri"/>
        </w:rPr>
      </w:pPr>
      <w:r w:rsidRPr="00DE68A1">
        <w:rPr>
          <w:rFonts w:eastAsia="Calibri"/>
        </w:rPr>
        <w:t>Credit limits are established for all customers after careful assessment of the relevant credit application. As per procedure, the approval of the Board of Directors is necessary for credit limits above a certain level. Management’s appetite is conveyed by limits for country, industry, borrower and product. Excess</w:t>
      </w:r>
      <w:r w:rsidR="00432BF1" w:rsidRPr="00DE68A1">
        <w:rPr>
          <w:rFonts w:eastAsia="Calibri"/>
        </w:rPr>
        <w:t>es</w:t>
      </w:r>
      <w:r w:rsidRPr="00DE68A1">
        <w:rPr>
          <w:rFonts w:eastAsia="Calibri"/>
        </w:rPr>
        <w:t xml:space="preserve"> above approved limits</w:t>
      </w:r>
      <w:r w:rsidR="00432BF1" w:rsidRPr="00DE68A1">
        <w:rPr>
          <w:rFonts w:eastAsia="Calibri"/>
        </w:rPr>
        <w:t xml:space="preserve"> require</w:t>
      </w:r>
      <w:r w:rsidRPr="00DE68A1">
        <w:rPr>
          <w:rFonts w:eastAsia="Calibri"/>
        </w:rPr>
        <w:t xml:space="preserve"> approval by appropriate credit authorities in the Bank.</w:t>
      </w:r>
    </w:p>
    <w:p w14:paraId="0DF4A367" w14:textId="71737BEB" w:rsidR="00AF7549" w:rsidRPr="00DE68A1" w:rsidRDefault="00AF7549" w:rsidP="00262829">
      <w:pPr>
        <w:bidi w:val="0"/>
        <w:spacing w:after="200" w:line="276" w:lineRule="auto"/>
        <w:jc w:val="both"/>
        <w:rPr>
          <w:rFonts w:eastAsia="Calibri"/>
        </w:rPr>
      </w:pPr>
      <w:r w:rsidRPr="00DE68A1">
        <w:rPr>
          <w:rFonts w:eastAsia="Calibri"/>
        </w:rPr>
        <w:t>Concentrati</w:t>
      </w:r>
      <w:r w:rsidR="00432BF1" w:rsidRPr="00DE68A1">
        <w:rPr>
          <w:rFonts w:eastAsia="Calibri"/>
        </w:rPr>
        <w:t>ons by size, industry, business</w:t>
      </w:r>
      <w:r w:rsidRPr="00DE68A1">
        <w:rPr>
          <w:rFonts w:eastAsia="Calibri"/>
        </w:rPr>
        <w:t xml:space="preserve"> and industry sectors are monitored and limited.  Central Bank of Kuwait defines concentration as 15</w:t>
      </w:r>
      <w:r w:rsidR="00D571FD">
        <w:rPr>
          <w:rFonts w:eastAsia="Calibri"/>
        </w:rPr>
        <w:t>%</w:t>
      </w:r>
      <w:r w:rsidRPr="00DE68A1">
        <w:rPr>
          <w:rFonts w:eastAsia="Calibri"/>
        </w:rPr>
        <w:t xml:space="preserve"> of a bank’s total </w:t>
      </w:r>
      <w:r w:rsidR="006A45C9" w:rsidRPr="00DE68A1">
        <w:rPr>
          <w:rFonts w:eastAsia="Calibri"/>
        </w:rPr>
        <w:t>eligible capital</w:t>
      </w:r>
      <w:r w:rsidR="001D0E93" w:rsidRPr="00DE68A1">
        <w:rPr>
          <w:rFonts w:eastAsia="Calibri"/>
        </w:rPr>
        <w:t xml:space="preserve"> base</w:t>
      </w:r>
      <w:r w:rsidR="00854B9F" w:rsidRPr="00DE68A1">
        <w:rPr>
          <w:rFonts w:eastAsia="Calibri"/>
        </w:rPr>
        <w:t xml:space="preserve"> as defined under Basel </w:t>
      </w:r>
      <w:r w:rsidR="00010B2B" w:rsidRPr="00DE68A1">
        <w:rPr>
          <w:rFonts w:eastAsia="Calibri"/>
        </w:rPr>
        <w:t>III</w:t>
      </w:r>
      <w:r w:rsidR="00854B9F" w:rsidRPr="00DE68A1">
        <w:rPr>
          <w:rFonts w:eastAsia="Calibri"/>
        </w:rPr>
        <w:t>/CBK</w:t>
      </w:r>
      <w:r w:rsidR="00C90EB5" w:rsidRPr="00DE68A1">
        <w:rPr>
          <w:rFonts w:eastAsia="Calibri"/>
        </w:rPr>
        <w:t>; all</w:t>
      </w:r>
      <w:r w:rsidRPr="00DE68A1">
        <w:rPr>
          <w:rFonts w:eastAsia="Calibri"/>
        </w:rPr>
        <w:t xml:space="preserve"> concentrations in the portfolio by industry are monitored closely for adverse financial or economic conditions.</w:t>
      </w:r>
    </w:p>
    <w:p w14:paraId="4E492A19" w14:textId="3EF526F3" w:rsidR="000D252E" w:rsidRPr="00DE68A1" w:rsidRDefault="00086F8F" w:rsidP="00013FE5">
      <w:pPr>
        <w:bidi w:val="0"/>
        <w:spacing w:after="200" w:line="276" w:lineRule="auto"/>
        <w:jc w:val="both"/>
        <w:rPr>
          <w:rFonts w:eastAsia="Calibri"/>
        </w:rPr>
      </w:pPr>
      <w:r w:rsidRPr="00DE68A1">
        <w:rPr>
          <w:rFonts w:eastAsia="Calibri"/>
        </w:rPr>
        <w:t xml:space="preserve">Risk Management tracks delinquencies at the company and portfolio level and is in constant dialogue with the Business departments so that action on irregularities can be taken in time and slippage down the past-due time buckets are controlled as far as possible. </w:t>
      </w:r>
    </w:p>
    <w:p w14:paraId="67E0E02A" w14:textId="23512EAA" w:rsidR="00131B91" w:rsidRPr="00DE68A1" w:rsidRDefault="00131B91" w:rsidP="003A1D2B">
      <w:pPr>
        <w:bidi w:val="0"/>
        <w:jc w:val="both"/>
        <w:rPr>
          <w:b/>
        </w:rPr>
      </w:pPr>
      <w:r w:rsidRPr="00DE68A1">
        <w:rPr>
          <w:b/>
        </w:rPr>
        <w:t>Information related to credit exposures</w:t>
      </w:r>
      <w:r w:rsidRPr="00DE68A1">
        <w:rPr>
          <w:b/>
          <w:i/>
          <w:iCs/>
        </w:rPr>
        <w:t xml:space="preserve"> </w:t>
      </w:r>
    </w:p>
    <w:p w14:paraId="0055A085" w14:textId="0FCB6B28" w:rsidR="00B31BF5" w:rsidRPr="00DE68A1" w:rsidRDefault="00B31BF5" w:rsidP="00E8468D">
      <w:pPr>
        <w:bidi w:val="0"/>
        <w:spacing w:before="240"/>
        <w:ind w:left="-360"/>
        <w:jc w:val="lowKashida"/>
      </w:pPr>
      <w:r w:rsidRPr="00DE68A1">
        <w:t xml:space="preserve">      </w:t>
      </w:r>
      <w:r w:rsidRPr="00DE68A1">
        <w:rPr>
          <w:b/>
          <w:bCs/>
        </w:rPr>
        <w:t>Past Due / Impaired Assets and Provisioning</w:t>
      </w:r>
    </w:p>
    <w:p w14:paraId="6FFBD067" w14:textId="77777777" w:rsidR="00EC4442" w:rsidRPr="00DE68A1" w:rsidRDefault="00EC4442" w:rsidP="00EC4442">
      <w:pPr>
        <w:bidi w:val="0"/>
        <w:ind w:left="-360"/>
        <w:jc w:val="lowKashida"/>
      </w:pPr>
    </w:p>
    <w:p w14:paraId="2A76E134" w14:textId="7AF59F83" w:rsidR="00B31BF5" w:rsidRPr="00DE68A1" w:rsidRDefault="00B31BF5" w:rsidP="00E556B6">
      <w:pPr>
        <w:bidi w:val="0"/>
        <w:spacing w:after="200" w:line="276" w:lineRule="auto"/>
        <w:jc w:val="both"/>
        <w:rPr>
          <w:rFonts w:eastAsia="Calibri"/>
        </w:rPr>
      </w:pPr>
      <w:r w:rsidRPr="00DE68A1">
        <w:rPr>
          <w:rFonts w:eastAsia="Calibri"/>
        </w:rPr>
        <w:t>IBK follows the Central Bank of Kuwait definitions of irregular assets and guidelines for impairment provision. Classification of credit exposures and computation of provisions are as below:</w:t>
      </w:r>
    </w:p>
    <w:p w14:paraId="791B7B24" w14:textId="77777777" w:rsidR="00B31BF5" w:rsidRPr="00DE68A1" w:rsidRDefault="00B31BF5" w:rsidP="003E67D4">
      <w:pPr>
        <w:bidi w:val="0"/>
        <w:jc w:val="lowKashida"/>
      </w:pPr>
      <w:r w:rsidRPr="00DE68A1">
        <w:t>A. Credit Facilities to Customers (Resident &amp; Non-Resident):</w:t>
      </w:r>
    </w:p>
    <w:p w14:paraId="5126DFE7" w14:textId="77777777" w:rsidR="00B31BF5" w:rsidRPr="00DE68A1" w:rsidRDefault="00D65015" w:rsidP="00E8468D">
      <w:pPr>
        <w:bidi w:val="0"/>
        <w:spacing w:before="240"/>
        <w:jc w:val="lowKashida"/>
      </w:pPr>
      <w:r w:rsidRPr="00DE68A1">
        <w:t>(</w:t>
      </w:r>
      <w:proofErr w:type="spellStart"/>
      <w:r w:rsidRPr="00DE68A1">
        <w:t>i</w:t>
      </w:r>
      <w:proofErr w:type="spellEnd"/>
      <w:r w:rsidRPr="00DE68A1">
        <w:t>)</w:t>
      </w:r>
      <w:r w:rsidR="00B31BF5" w:rsidRPr="00DE68A1">
        <w:t xml:space="preserve"> Exposure is classified as Irregular if:</w:t>
      </w:r>
    </w:p>
    <w:p w14:paraId="5B688146" w14:textId="77777777" w:rsidR="00B31BF5" w:rsidRPr="00DE68A1" w:rsidRDefault="00B31BF5" w:rsidP="00B31BF5">
      <w:pPr>
        <w:bidi w:val="0"/>
        <w:ind w:left="-360"/>
        <w:jc w:val="lowKashida"/>
      </w:pPr>
    </w:p>
    <w:p w14:paraId="53344AE5" w14:textId="2C6370DD" w:rsidR="00B31BF5" w:rsidRPr="00DE68A1" w:rsidRDefault="00B31BF5" w:rsidP="00B31BF5">
      <w:pPr>
        <w:numPr>
          <w:ilvl w:val="0"/>
          <w:numId w:val="5"/>
        </w:numPr>
        <w:bidi w:val="0"/>
        <w:jc w:val="lowKashida"/>
      </w:pPr>
      <w:r w:rsidRPr="00DE68A1">
        <w:t>the debit balance in the current account has been constantly showing an excess of over 10% of the approved Overdraft limit</w:t>
      </w:r>
      <w:r w:rsidR="001D2EA5" w:rsidRPr="00DE68A1">
        <w:t>,</w:t>
      </w:r>
    </w:p>
    <w:p w14:paraId="182A25AF" w14:textId="20F309D3" w:rsidR="0060749B" w:rsidRPr="00DE68A1" w:rsidRDefault="00B31BF5" w:rsidP="0060749B">
      <w:pPr>
        <w:numPr>
          <w:ilvl w:val="0"/>
          <w:numId w:val="5"/>
        </w:numPr>
        <w:bidi w:val="0"/>
        <w:jc w:val="lowKashida"/>
      </w:pPr>
      <w:r w:rsidRPr="00DE68A1">
        <w:t>the current account is in debit, without an approved Overdraft limit</w:t>
      </w:r>
      <w:r w:rsidR="001D2EA5" w:rsidRPr="00DE68A1">
        <w:t>,</w:t>
      </w:r>
    </w:p>
    <w:p w14:paraId="23F47308" w14:textId="002B8124" w:rsidR="00B31BF5" w:rsidRPr="00DE68A1" w:rsidRDefault="00B31BF5" w:rsidP="00B31BF5">
      <w:pPr>
        <w:numPr>
          <w:ilvl w:val="0"/>
          <w:numId w:val="5"/>
        </w:numPr>
        <w:bidi w:val="0"/>
        <w:jc w:val="lowKashida"/>
      </w:pPr>
      <w:r w:rsidRPr="00DE68A1">
        <w:t xml:space="preserve">credit facilities have expired, </w:t>
      </w:r>
      <w:r w:rsidR="006A12FE" w:rsidRPr="00DE68A1">
        <w:t>outstanding’s</w:t>
      </w:r>
      <w:r w:rsidRPr="00DE68A1">
        <w:t xml:space="preserve"> have not been </w:t>
      </w:r>
      <w:r w:rsidR="00DE68A1" w:rsidRPr="00DE68A1">
        <w:t>settled,</w:t>
      </w:r>
      <w:r w:rsidRPr="00DE68A1">
        <w:t xml:space="preserve"> and the Bank has decided not to renew the facilities on credit grounds</w:t>
      </w:r>
      <w:r w:rsidR="001D2EA5" w:rsidRPr="00DE68A1">
        <w:t>,</w:t>
      </w:r>
    </w:p>
    <w:p w14:paraId="73EDC62E" w14:textId="0AA58E7B" w:rsidR="00B31BF5" w:rsidRPr="00DE68A1" w:rsidRDefault="00B31BF5" w:rsidP="00B31BF5">
      <w:pPr>
        <w:numPr>
          <w:ilvl w:val="0"/>
          <w:numId w:val="5"/>
        </w:numPr>
        <w:bidi w:val="0"/>
        <w:jc w:val="lowKashida"/>
      </w:pPr>
      <w:r w:rsidRPr="00DE68A1">
        <w:t>loan installments are defaulted</w:t>
      </w:r>
      <w:r w:rsidR="001D2EA5" w:rsidRPr="00DE68A1">
        <w:t>, and</w:t>
      </w:r>
    </w:p>
    <w:p w14:paraId="1699494D" w14:textId="6A740557" w:rsidR="00E8468D" w:rsidRPr="00DE68A1" w:rsidRDefault="00E44F29" w:rsidP="00E8468D">
      <w:pPr>
        <w:numPr>
          <w:ilvl w:val="0"/>
          <w:numId w:val="5"/>
        </w:numPr>
        <w:bidi w:val="0"/>
        <w:jc w:val="lowKashida"/>
      </w:pPr>
      <w:r w:rsidRPr="00DE68A1">
        <w:lastRenderedPageBreak/>
        <w:t>interest</w:t>
      </w:r>
      <w:r w:rsidR="00B31BF5" w:rsidRPr="00DE68A1">
        <w:t xml:space="preserve"> is in arrears.</w:t>
      </w:r>
    </w:p>
    <w:p w14:paraId="739E2ABB" w14:textId="77777777" w:rsidR="00B31BF5" w:rsidRPr="00DE68A1" w:rsidRDefault="00D65015" w:rsidP="00E8468D">
      <w:pPr>
        <w:bidi w:val="0"/>
        <w:spacing w:before="240"/>
        <w:jc w:val="lowKashida"/>
      </w:pPr>
      <w:r w:rsidRPr="00DE68A1">
        <w:t>(ii)</w:t>
      </w:r>
      <w:r w:rsidR="00B31BF5" w:rsidRPr="00DE68A1">
        <w:t xml:space="preserve"> Irregular exposures are classified as below:</w:t>
      </w:r>
    </w:p>
    <w:p w14:paraId="7147E175" w14:textId="629A2308" w:rsidR="00B31BF5" w:rsidRPr="00DE68A1" w:rsidRDefault="00B31BF5" w:rsidP="000A380A">
      <w:pPr>
        <w:numPr>
          <w:ilvl w:val="0"/>
          <w:numId w:val="8"/>
        </w:numPr>
        <w:tabs>
          <w:tab w:val="clear" w:pos="720"/>
          <w:tab w:val="num" w:pos="360"/>
        </w:tabs>
        <w:bidi w:val="0"/>
        <w:ind w:left="360"/>
        <w:jc w:val="lowKashida"/>
      </w:pPr>
      <w:r w:rsidRPr="00DE68A1">
        <w:t xml:space="preserve">Sub-Standard: Where any of the irregularities as above </w:t>
      </w:r>
      <w:r w:rsidR="003047C2" w:rsidRPr="00DE68A1">
        <w:t>existed</w:t>
      </w:r>
      <w:r w:rsidRPr="00DE68A1">
        <w:t xml:space="preserve"> for a period exceeding 90 days but less than 180 days, or if, in the Bank's</w:t>
      </w:r>
      <w:r w:rsidR="00E44F29" w:rsidRPr="00DE68A1">
        <w:t xml:space="preserve"> </w:t>
      </w:r>
      <w:r w:rsidR="00090136" w:rsidRPr="00DE68A1">
        <w:t>judgment, there</w:t>
      </w:r>
      <w:r w:rsidR="00E44F29" w:rsidRPr="00DE68A1">
        <w:t xml:space="preserve"> is noticeable </w:t>
      </w:r>
      <w:r w:rsidRPr="00DE68A1">
        <w:t>deterioration in the customer's financial condition.</w:t>
      </w:r>
    </w:p>
    <w:p w14:paraId="6DA13CA3" w14:textId="77777777" w:rsidR="00B31BF5" w:rsidRPr="00DE68A1" w:rsidRDefault="00B31BF5" w:rsidP="000A380A">
      <w:pPr>
        <w:numPr>
          <w:ilvl w:val="0"/>
          <w:numId w:val="8"/>
        </w:numPr>
        <w:tabs>
          <w:tab w:val="clear" w:pos="720"/>
          <w:tab w:val="num" w:pos="360"/>
        </w:tabs>
        <w:bidi w:val="0"/>
        <w:ind w:left="360"/>
        <w:jc w:val="lowKashida"/>
      </w:pPr>
      <w:r w:rsidRPr="00DE68A1">
        <w:t>Doubtful Debts: Where any of the irregularities as above has been existing for a period exceeding 180 days but less than 365 days, or if, in the Bank's judgment, there is noticeable deterioration in the customer's financial condition.</w:t>
      </w:r>
    </w:p>
    <w:p w14:paraId="4D17496A" w14:textId="7F442F54" w:rsidR="00130980" w:rsidRPr="00DE68A1" w:rsidRDefault="00B31BF5" w:rsidP="001402BF">
      <w:pPr>
        <w:numPr>
          <w:ilvl w:val="0"/>
          <w:numId w:val="8"/>
        </w:numPr>
        <w:tabs>
          <w:tab w:val="clear" w:pos="720"/>
          <w:tab w:val="num" w:pos="360"/>
        </w:tabs>
        <w:bidi w:val="0"/>
        <w:ind w:left="360"/>
        <w:jc w:val="lowKashida"/>
      </w:pPr>
      <w:r w:rsidRPr="00DE68A1">
        <w:t xml:space="preserve">Bad Debts: Where any of the irregularities as above </w:t>
      </w:r>
      <w:r w:rsidR="003047C2" w:rsidRPr="00DE68A1">
        <w:t>have</w:t>
      </w:r>
      <w:r w:rsidRPr="00DE68A1">
        <w:t xml:space="preserve"> exist</w:t>
      </w:r>
      <w:r w:rsidR="00823FFC" w:rsidRPr="00DE68A1">
        <w:t>ed</w:t>
      </w:r>
      <w:r w:rsidRPr="00DE68A1">
        <w:t xml:space="preserve"> for a period exceeding 365 days, or if, in the Bank's judgment, there is noticeable deterioration in the customer's financial condition.  </w:t>
      </w:r>
      <w:r w:rsidR="00D65015" w:rsidRPr="00DE68A1">
        <w:t xml:space="preserve">   </w:t>
      </w:r>
    </w:p>
    <w:p w14:paraId="7D7048EE" w14:textId="6747EB35" w:rsidR="00130980" w:rsidRPr="00DE68A1" w:rsidRDefault="00D65015" w:rsidP="00130980">
      <w:pPr>
        <w:bidi w:val="0"/>
        <w:jc w:val="lowKashida"/>
      </w:pPr>
      <w:r w:rsidRPr="00DE68A1">
        <w:t xml:space="preserve"> </w:t>
      </w:r>
    </w:p>
    <w:p w14:paraId="5DA03239" w14:textId="07FFDA8F" w:rsidR="00B31BF5" w:rsidRPr="00DE68A1" w:rsidRDefault="00D65015" w:rsidP="00130980">
      <w:pPr>
        <w:bidi w:val="0"/>
        <w:jc w:val="lowKashida"/>
      </w:pPr>
      <w:r w:rsidRPr="00DE68A1">
        <w:t>(ii</w:t>
      </w:r>
      <w:r w:rsidR="003C0930" w:rsidRPr="00DE68A1">
        <w:t>i</w:t>
      </w:r>
      <w:r w:rsidRPr="00DE68A1">
        <w:t>)</w:t>
      </w:r>
      <w:r w:rsidR="00B31BF5" w:rsidRPr="00DE68A1">
        <w:t xml:space="preserve"> Provision requirements:</w:t>
      </w:r>
    </w:p>
    <w:p w14:paraId="65B39C08" w14:textId="77777777" w:rsidR="000A380A" w:rsidRPr="00DE68A1" w:rsidRDefault="000A380A" w:rsidP="000A380A">
      <w:pPr>
        <w:bidi w:val="0"/>
        <w:ind w:left="-360"/>
        <w:jc w:val="lowKashida"/>
      </w:pPr>
    </w:p>
    <w:p w14:paraId="3675CB41" w14:textId="77777777" w:rsidR="00B31BF5" w:rsidRPr="00DE68A1" w:rsidRDefault="00B31BF5" w:rsidP="00B31BF5">
      <w:pPr>
        <w:bidi w:val="0"/>
        <w:ind w:left="360" w:hanging="720"/>
        <w:jc w:val="lowKashida"/>
      </w:pPr>
      <w:r w:rsidRPr="00DE68A1">
        <w:t xml:space="preserve">           Specific provisions are made as below:</w:t>
      </w:r>
    </w:p>
    <w:p w14:paraId="6003491D" w14:textId="77777777" w:rsidR="00524415" w:rsidRPr="00DE68A1" w:rsidRDefault="00524415" w:rsidP="00524415">
      <w:pPr>
        <w:bidi w:val="0"/>
        <w:ind w:left="360" w:hanging="720"/>
        <w:jc w:val="lowKashida"/>
      </w:pPr>
    </w:p>
    <w:p w14:paraId="7918C8D4" w14:textId="77777777" w:rsidR="00B31BF5" w:rsidRPr="00DE68A1" w:rsidRDefault="00B31BF5" w:rsidP="00E8468D">
      <w:pPr>
        <w:numPr>
          <w:ilvl w:val="0"/>
          <w:numId w:val="9"/>
        </w:numPr>
        <w:tabs>
          <w:tab w:val="clear" w:pos="720"/>
          <w:tab w:val="num" w:pos="851"/>
        </w:tabs>
        <w:bidi w:val="0"/>
        <w:ind w:left="851"/>
        <w:jc w:val="lowKashida"/>
      </w:pPr>
      <w:r w:rsidRPr="00DE68A1">
        <w:t>Sub-Standard exposures   :   20%</w:t>
      </w:r>
    </w:p>
    <w:p w14:paraId="46DD716A" w14:textId="77777777" w:rsidR="00B31BF5" w:rsidRPr="00DE68A1" w:rsidRDefault="00B31BF5" w:rsidP="00E8468D">
      <w:pPr>
        <w:numPr>
          <w:ilvl w:val="0"/>
          <w:numId w:val="9"/>
        </w:numPr>
        <w:tabs>
          <w:tab w:val="clear" w:pos="720"/>
          <w:tab w:val="num" w:pos="851"/>
        </w:tabs>
        <w:bidi w:val="0"/>
        <w:ind w:left="851"/>
        <w:jc w:val="lowKashida"/>
      </w:pPr>
      <w:r w:rsidRPr="00DE68A1">
        <w:t xml:space="preserve">Doubtful Debts               </w:t>
      </w:r>
      <w:r w:rsidR="009942F7" w:rsidRPr="00DE68A1">
        <w:t xml:space="preserve"> </w:t>
      </w:r>
      <w:r w:rsidRPr="00DE68A1">
        <w:t xml:space="preserve"> :   50%</w:t>
      </w:r>
    </w:p>
    <w:p w14:paraId="3854C7D9" w14:textId="79BB68BD" w:rsidR="00B31BF5" w:rsidRPr="00DE68A1" w:rsidRDefault="00B31BF5" w:rsidP="00CD18D4">
      <w:pPr>
        <w:numPr>
          <w:ilvl w:val="0"/>
          <w:numId w:val="9"/>
        </w:numPr>
        <w:tabs>
          <w:tab w:val="clear" w:pos="720"/>
          <w:tab w:val="num" w:pos="851"/>
        </w:tabs>
        <w:bidi w:val="0"/>
        <w:ind w:left="851"/>
        <w:jc w:val="lowKashida"/>
      </w:pPr>
      <w:r w:rsidRPr="00DE68A1">
        <w:t xml:space="preserve">Bad Debts                      </w:t>
      </w:r>
      <w:r w:rsidR="009942F7" w:rsidRPr="00DE68A1">
        <w:t xml:space="preserve">   </w:t>
      </w:r>
      <w:r w:rsidRPr="00DE68A1">
        <w:t>:  100%</w:t>
      </w:r>
    </w:p>
    <w:p w14:paraId="2783AF98" w14:textId="77777777" w:rsidR="000A380A" w:rsidRPr="00DE68A1" w:rsidRDefault="000A380A" w:rsidP="000A380A">
      <w:pPr>
        <w:bidi w:val="0"/>
        <w:ind w:left="360"/>
        <w:jc w:val="lowKashida"/>
      </w:pPr>
    </w:p>
    <w:p w14:paraId="01F412F2" w14:textId="31B29665" w:rsidR="00823FFC" w:rsidRPr="00DE68A1" w:rsidRDefault="00920915" w:rsidP="00E8468D">
      <w:pPr>
        <w:bidi w:val="0"/>
        <w:spacing w:after="200" w:line="276" w:lineRule="auto"/>
        <w:jc w:val="both"/>
        <w:rPr>
          <w:rFonts w:eastAsia="Calibri"/>
        </w:rPr>
      </w:pPr>
      <w:r w:rsidRPr="00DE68A1">
        <w:rPr>
          <w:rFonts w:eastAsia="Calibri"/>
        </w:rPr>
        <w:t>1</w:t>
      </w:r>
      <w:r w:rsidR="00D70097" w:rsidRPr="00DE68A1">
        <w:rPr>
          <w:rFonts w:eastAsia="Calibri"/>
        </w:rPr>
        <w:t>%</w:t>
      </w:r>
      <w:r w:rsidR="00823FFC" w:rsidRPr="00DE68A1">
        <w:rPr>
          <w:rFonts w:eastAsia="Calibri"/>
        </w:rPr>
        <w:t xml:space="preserve"> General Provisions are made on all exposures</w:t>
      </w:r>
      <w:r w:rsidR="00D70097" w:rsidRPr="00DE68A1">
        <w:rPr>
          <w:rFonts w:eastAsia="Calibri"/>
        </w:rPr>
        <w:t xml:space="preserve"> not subject to a specific provision after deducting certain allowed collaterals as</w:t>
      </w:r>
      <w:r w:rsidR="00823FFC" w:rsidRPr="00DE68A1">
        <w:rPr>
          <w:rFonts w:eastAsia="Calibri"/>
        </w:rPr>
        <w:t xml:space="preserve"> per the guidelines of</w:t>
      </w:r>
      <w:r w:rsidR="00D70097" w:rsidRPr="00DE68A1">
        <w:rPr>
          <w:rFonts w:eastAsia="Calibri"/>
        </w:rPr>
        <w:t xml:space="preserve"> </w:t>
      </w:r>
      <w:r w:rsidR="00823FFC" w:rsidRPr="00DE68A1">
        <w:rPr>
          <w:rFonts w:eastAsia="Calibri"/>
        </w:rPr>
        <w:t>The Central Bank of Kuwait.</w:t>
      </w:r>
      <w:r w:rsidR="003C7BC8" w:rsidRPr="00DE68A1">
        <w:rPr>
          <w:rFonts w:eastAsia="Calibri"/>
        </w:rPr>
        <w:t xml:space="preserve"> The Bank </w:t>
      </w:r>
      <w:r w:rsidR="0057437E" w:rsidRPr="00DE68A1">
        <w:rPr>
          <w:rFonts w:eastAsia="Calibri"/>
        </w:rPr>
        <w:t>successfully</w:t>
      </w:r>
      <w:r w:rsidR="003C7BC8" w:rsidRPr="00DE68A1">
        <w:rPr>
          <w:rFonts w:eastAsia="Calibri"/>
        </w:rPr>
        <w:t xml:space="preserve"> implement</w:t>
      </w:r>
      <w:r w:rsidR="0057437E" w:rsidRPr="00DE68A1">
        <w:rPr>
          <w:rFonts w:eastAsia="Calibri"/>
        </w:rPr>
        <w:t>ed</w:t>
      </w:r>
      <w:r w:rsidR="003C7BC8" w:rsidRPr="00DE68A1">
        <w:rPr>
          <w:rFonts w:eastAsia="Calibri"/>
        </w:rPr>
        <w:t xml:space="preserve"> IFRS 9 </w:t>
      </w:r>
      <w:r w:rsidR="0057437E" w:rsidRPr="00DE68A1">
        <w:rPr>
          <w:rFonts w:eastAsia="Calibri"/>
        </w:rPr>
        <w:t xml:space="preserve">system for </w:t>
      </w:r>
      <w:r w:rsidR="003C7BC8" w:rsidRPr="00DE68A1">
        <w:rPr>
          <w:rFonts w:eastAsia="Calibri"/>
        </w:rPr>
        <w:t>provisioning approach.</w:t>
      </w:r>
      <w:r w:rsidR="00F524CC" w:rsidRPr="00DE68A1">
        <w:rPr>
          <w:rFonts w:eastAsia="Calibri"/>
        </w:rPr>
        <w:t xml:space="preserve"> The Bank calculates expected credit losses based on CBK – IFRS9 methodology and the existing CBK methodology and applies the higher of the two.</w:t>
      </w:r>
    </w:p>
    <w:p w14:paraId="13389544" w14:textId="1C097253" w:rsidR="00D84118" w:rsidRPr="00DE68A1" w:rsidRDefault="0024639C">
      <w:pPr>
        <w:bidi w:val="0"/>
        <w:spacing w:after="200" w:line="276" w:lineRule="auto"/>
        <w:jc w:val="both"/>
        <w:rPr>
          <w:rFonts w:eastAsia="Calibri"/>
        </w:rPr>
      </w:pPr>
      <w:r w:rsidRPr="00DE68A1">
        <w:rPr>
          <w:rFonts w:eastAsia="Calibri"/>
        </w:rPr>
        <w:t xml:space="preserve">This section discusses the part of the credit portfolio where customers have been delinquent in their repayments. </w:t>
      </w:r>
    </w:p>
    <w:tbl>
      <w:tblPr>
        <w:tblW w:w="5873" w:type="dxa"/>
        <w:tblInd w:w="1656" w:type="dxa"/>
        <w:tblLook w:val="04A0" w:firstRow="1" w:lastRow="0" w:firstColumn="1" w:lastColumn="0" w:noHBand="0" w:noVBand="1"/>
      </w:tblPr>
      <w:tblGrid>
        <w:gridCol w:w="1865"/>
        <w:gridCol w:w="1978"/>
        <w:gridCol w:w="2030"/>
      </w:tblGrid>
      <w:tr w:rsidR="007D5D50" w:rsidRPr="00DE68A1" w14:paraId="63F4C17D" w14:textId="77777777" w:rsidTr="007D5D50">
        <w:trPr>
          <w:trHeight w:val="220"/>
        </w:trPr>
        <w:tc>
          <w:tcPr>
            <w:tcW w:w="5873" w:type="dxa"/>
            <w:gridSpan w:val="3"/>
            <w:tcBorders>
              <w:top w:val="single" w:sz="8" w:space="0" w:color="auto"/>
              <w:left w:val="single" w:sz="8" w:space="0" w:color="auto"/>
              <w:bottom w:val="single" w:sz="4" w:space="0" w:color="auto"/>
              <w:right w:val="single" w:sz="8" w:space="0" w:color="000000"/>
            </w:tcBorders>
            <w:shd w:val="clear" w:color="000000" w:fill="002060"/>
            <w:noWrap/>
            <w:vAlign w:val="bottom"/>
            <w:hideMark/>
          </w:tcPr>
          <w:p w14:paraId="7CC31B21" w14:textId="5AFF1FE5" w:rsidR="000444BF" w:rsidRPr="00DE68A1" w:rsidRDefault="000444BF" w:rsidP="000444BF">
            <w:pPr>
              <w:bidi w:val="0"/>
              <w:jc w:val="center"/>
              <w:rPr>
                <w:rFonts w:asciiTheme="minorHAnsi" w:hAnsiTheme="minorHAnsi" w:cstheme="minorHAnsi"/>
                <w:b/>
                <w:bCs/>
                <w:color w:val="FFFFFF"/>
                <w:sz w:val="18"/>
                <w:szCs w:val="18"/>
              </w:rPr>
            </w:pPr>
            <w:r w:rsidRPr="00DE68A1">
              <w:rPr>
                <w:rFonts w:asciiTheme="minorHAnsi" w:hAnsiTheme="minorHAnsi" w:cstheme="minorHAnsi"/>
                <w:b/>
                <w:bCs/>
                <w:color w:val="FFFFFF"/>
                <w:sz w:val="18"/>
                <w:szCs w:val="18"/>
              </w:rPr>
              <w:t>Disclosure on Past Due Loans - Ageing Criteria as on 31.12.</w:t>
            </w:r>
            <w:r w:rsidR="00E01875" w:rsidRPr="00DE68A1">
              <w:rPr>
                <w:rFonts w:asciiTheme="minorHAnsi" w:hAnsiTheme="minorHAnsi" w:cstheme="minorHAnsi"/>
                <w:b/>
                <w:bCs/>
                <w:color w:val="FFFFFF"/>
                <w:sz w:val="18"/>
                <w:szCs w:val="18"/>
              </w:rPr>
              <w:t>202</w:t>
            </w:r>
            <w:r w:rsidR="00072896" w:rsidRPr="00DE68A1">
              <w:rPr>
                <w:rFonts w:asciiTheme="minorHAnsi" w:hAnsiTheme="minorHAnsi" w:cstheme="minorHAnsi"/>
                <w:b/>
                <w:bCs/>
                <w:color w:val="FFFFFF"/>
                <w:sz w:val="18"/>
                <w:szCs w:val="18"/>
              </w:rPr>
              <w:t>5</w:t>
            </w:r>
          </w:p>
        </w:tc>
      </w:tr>
      <w:tr w:rsidR="007D5D50" w:rsidRPr="00DE68A1" w14:paraId="29506C62" w14:textId="77777777" w:rsidTr="001D2EA5">
        <w:trPr>
          <w:trHeight w:val="332"/>
        </w:trPr>
        <w:tc>
          <w:tcPr>
            <w:tcW w:w="1865" w:type="dxa"/>
            <w:tcBorders>
              <w:top w:val="nil"/>
              <w:left w:val="single" w:sz="8" w:space="0" w:color="auto"/>
              <w:bottom w:val="single" w:sz="4" w:space="0" w:color="auto"/>
              <w:right w:val="single" w:sz="4" w:space="0" w:color="auto"/>
            </w:tcBorders>
            <w:shd w:val="clear" w:color="000000" w:fill="B4C6E7"/>
            <w:noWrap/>
            <w:vAlign w:val="center"/>
            <w:hideMark/>
          </w:tcPr>
          <w:p w14:paraId="3FAFC608" w14:textId="77777777" w:rsidR="000444BF" w:rsidRPr="00DE68A1" w:rsidRDefault="000444BF" w:rsidP="00F808D6">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Past Due Category</w:t>
            </w:r>
          </w:p>
        </w:tc>
        <w:tc>
          <w:tcPr>
            <w:tcW w:w="1978" w:type="dxa"/>
            <w:tcBorders>
              <w:top w:val="nil"/>
              <w:left w:val="nil"/>
              <w:bottom w:val="single" w:sz="4" w:space="0" w:color="auto"/>
              <w:right w:val="single" w:sz="4" w:space="0" w:color="auto"/>
            </w:tcBorders>
            <w:shd w:val="clear" w:color="000000" w:fill="B4C6E7"/>
            <w:vAlign w:val="center"/>
            <w:hideMark/>
          </w:tcPr>
          <w:p w14:paraId="554CF0C7" w14:textId="77777777" w:rsidR="000444BF" w:rsidRPr="00DE68A1" w:rsidRDefault="000444BF" w:rsidP="00F808D6">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Outstanding amount (KD '000)</w:t>
            </w:r>
          </w:p>
        </w:tc>
        <w:tc>
          <w:tcPr>
            <w:tcW w:w="2030" w:type="dxa"/>
            <w:tcBorders>
              <w:top w:val="nil"/>
              <w:left w:val="nil"/>
              <w:bottom w:val="single" w:sz="4" w:space="0" w:color="auto"/>
              <w:right w:val="single" w:sz="8" w:space="0" w:color="auto"/>
            </w:tcBorders>
            <w:shd w:val="clear" w:color="000000" w:fill="B4C6E7"/>
            <w:noWrap/>
            <w:vAlign w:val="center"/>
            <w:hideMark/>
          </w:tcPr>
          <w:p w14:paraId="03BDF443" w14:textId="77777777" w:rsidR="000444BF" w:rsidRPr="00DE68A1" w:rsidRDefault="000444BF" w:rsidP="00F808D6">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of Total Past Dues</w:t>
            </w:r>
          </w:p>
        </w:tc>
      </w:tr>
      <w:tr w:rsidR="003045EE" w:rsidRPr="00DE68A1" w14:paraId="1385E06F" w14:textId="77777777" w:rsidTr="001D2EA5">
        <w:trPr>
          <w:trHeight w:val="236"/>
        </w:trPr>
        <w:tc>
          <w:tcPr>
            <w:tcW w:w="1865" w:type="dxa"/>
            <w:tcBorders>
              <w:top w:val="nil"/>
              <w:left w:val="single" w:sz="8" w:space="0" w:color="auto"/>
              <w:bottom w:val="single" w:sz="4" w:space="0" w:color="auto"/>
              <w:right w:val="single" w:sz="4" w:space="0" w:color="auto"/>
            </w:tcBorders>
            <w:noWrap/>
            <w:vAlign w:val="center"/>
            <w:hideMark/>
          </w:tcPr>
          <w:p w14:paraId="0D5AAE5E" w14:textId="08BEB908" w:rsidR="003045EE" w:rsidRPr="00DE68A1" w:rsidRDefault="003045EE" w:rsidP="003045EE">
            <w:pPr>
              <w:bidi w:val="0"/>
              <w:rPr>
                <w:rFonts w:asciiTheme="minorHAnsi" w:hAnsiTheme="minorHAnsi" w:cstheme="minorHAnsi"/>
                <w:color w:val="000000"/>
                <w:sz w:val="18"/>
                <w:szCs w:val="18"/>
              </w:rPr>
            </w:pPr>
            <w:r w:rsidRPr="00DE68A1">
              <w:rPr>
                <w:rFonts w:asciiTheme="minorHAnsi" w:hAnsiTheme="minorHAnsi" w:cstheme="minorHAnsi"/>
                <w:sz w:val="18"/>
                <w:szCs w:val="18"/>
              </w:rPr>
              <w:t>0 ≤ 30</w:t>
            </w:r>
          </w:p>
        </w:tc>
        <w:tc>
          <w:tcPr>
            <w:tcW w:w="1978" w:type="dxa"/>
            <w:tcBorders>
              <w:top w:val="single" w:sz="4" w:space="0" w:color="auto"/>
              <w:left w:val="single" w:sz="4" w:space="0" w:color="auto"/>
              <w:bottom w:val="single" w:sz="4" w:space="0" w:color="auto"/>
              <w:right w:val="single" w:sz="4" w:space="0" w:color="auto"/>
            </w:tcBorders>
            <w:noWrap/>
            <w:vAlign w:val="bottom"/>
            <w:hideMark/>
          </w:tcPr>
          <w:p w14:paraId="6ADFF98D" w14:textId="3517F9B6" w:rsidR="003045EE" w:rsidRPr="00DE68A1" w:rsidRDefault="003045EE" w:rsidP="003045EE">
            <w:pPr>
              <w:bidi w:val="0"/>
              <w:jc w:val="right"/>
              <w:rPr>
                <w:rFonts w:asciiTheme="minorHAnsi" w:hAnsiTheme="minorHAnsi" w:cstheme="minorHAnsi"/>
                <w:color w:val="000000"/>
                <w:sz w:val="18"/>
                <w:szCs w:val="18"/>
              </w:rPr>
            </w:pPr>
            <w:r w:rsidRPr="00DE68A1">
              <w:rPr>
                <w:rFonts w:ascii="Calibri" w:hAnsi="Calibri" w:cs="Calibri"/>
                <w:color w:val="000000"/>
                <w:sz w:val="22"/>
                <w:szCs w:val="22"/>
              </w:rPr>
              <w:t>3</w:t>
            </w:r>
            <w:r w:rsidR="00601D57">
              <w:rPr>
                <w:rFonts w:ascii="Calibri" w:hAnsi="Calibri" w:cs="Calibri"/>
                <w:color w:val="000000"/>
                <w:sz w:val="22"/>
                <w:szCs w:val="22"/>
              </w:rPr>
              <w:t>,</w:t>
            </w:r>
            <w:r w:rsidRPr="00DE68A1">
              <w:rPr>
                <w:rFonts w:ascii="Calibri" w:hAnsi="Calibri" w:cs="Calibri"/>
                <w:color w:val="000000"/>
                <w:sz w:val="22"/>
                <w:szCs w:val="22"/>
              </w:rPr>
              <w:t>41</w:t>
            </w:r>
            <w:r w:rsidR="00601D57">
              <w:rPr>
                <w:rFonts w:ascii="Calibri" w:hAnsi="Calibri" w:cs="Calibri"/>
                <w:color w:val="000000"/>
                <w:sz w:val="22"/>
                <w:szCs w:val="22"/>
              </w:rPr>
              <w:t>8</w:t>
            </w:r>
          </w:p>
        </w:tc>
        <w:tc>
          <w:tcPr>
            <w:tcW w:w="2030" w:type="dxa"/>
            <w:tcBorders>
              <w:top w:val="single" w:sz="4" w:space="0" w:color="auto"/>
              <w:left w:val="nil"/>
              <w:bottom w:val="single" w:sz="4" w:space="0" w:color="auto"/>
              <w:right w:val="single" w:sz="8" w:space="0" w:color="auto"/>
            </w:tcBorders>
            <w:noWrap/>
            <w:vAlign w:val="bottom"/>
          </w:tcPr>
          <w:p w14:paraId="2D759946" w14:textId="408C6A2B" w:rsidR="003045EE" w:rsidRPr="00DE68A1" w:rsidRDefault="003045EE" w:rsidP="003045EE">
            <w:pPr>
              <w:bidi w:val="0"/>
              <w:jc w:val="right"/>
              <w:rPr>
                <w:rFonts w:asciiTheme="minorHAnsi" w:hAnsiTheme="minorHAnsi" w:cstheme="minorHAnsi"/>
                <w:color w:val="000000"/>
                <w:sz w:val="18"/>
                <w:szCs w:val="18"/>
              </w:rPr>
            </w:pPr>
            <w:r w:rsidRPr="00DE68A1">
              <w:rPr>
                <w:rFonts w:ascii="Calibri" w:hAnsi="Calibri" w:cs="Calibri"/>
                <w:color w:val="000000"/>
                <w:sz w:val="22"/>
                <w:szCs w:val="22"/>
              </w:rPr>
              <w:t>98.9%</w:t>
            </w:r>
          </w:p>
        </w:tc>
      </w:tr>
      <w:tr w:rsidR="003045EE" w:rsidRPr="00DE68A1" w14:paraId="7E9509BA" w14:textId="77777777" w:rsidTr="001D2EA5">
        <w:trPr>
          <w:trHeight w:val="220"/>
        </w:trPr>
        <w:tc>
          <w:tcPr>
            <w:tcW w:w="1865" w:type="dxa"/>
            <w:tcBorders>
              <w:top w:val="nil"/>
              <w:left w:val="single" w:sz="8" w:space="0" w:color="auto"/>
              <w:bottom w:val="single" w:sz="4" w:space="0" w:color="auto"/>
              <w:right w:val="single" w:sz="4" w:space="0" w:color="auto"/>
            </w:tcBorders>
            <w:noWrap/>
            <w:vAlign w:val="center"/>
            <w:hideMark/>
          </w:tcPr>
          <w:p w14:paraId="11FFB92D" w14:textId="358E8E85" w:rsidR="003045EE" w:rsidRPr="00DE68A1" w:rsidRDefault="003045EE" w:rsidP="003045EE">
            <w:pPr>
              <w:bidi w:val="0"/>
              <w:rPr>
                <w:rFonts w:asciiTheme="minorHAnsi" w:hAnsiTheme="minorHAnsi" w:cstheme="minorHAnsi"/>
                <w:color w:val="000000"/>
                <w:sz w:val="18"/>
                <w:szCs w:val="18"/>
              </w:rPr>
            </w:pPr>
            <w:r w:rsidRPr="00DE68A1">
              <w:rPr>
                <w:rFonts w:asciiTheme="minorHAnsi" w:hAnsiTheme="minorHAnsi" w:cstheme="minorHAnsi"/>
                <w:sz w:val="18"/>
                <w:szCs w:val="18"/>
              </w:rPr>
              <w:t>31 ≤ 90</w:t>
            </w:r>
          </w:p>
        </w:tc>
        <w:tc>
          <w:tcPr>
            <w:tcW w:w="1978" w:type="dxa"/>
            <w:tcBorders>
              <w:top w:val="nil"/>
              <w:left w:val="single" w:sz="4" w:space="0" w:color="auto"/>
              <w:bottom w:val="single" w:sz="4" w:space="0" w:color="auto"/>
              <w:right w:val="single" w:sz="4" w:space="0" w:color="auto"/>
            </w:tcBorders>
            <w:noWrap/>
            <w:vAlign w:val="bottom"/>
            <w:hideMark/>
          </w:tcPr>
          <w:p w14:paraId="1A6FA554" w14:textId="563D066A" w:rsidR="003045EE" w:rsidRPr="00DE68A1" w:rsidRDefault="003045EE" w:rsidP="003045EE">
            <w:pPr>
              <w:bidi w:val="0"/>
              <w:jc w:val="right"/>
              <w:rPr>
                <w:rFonts w:asciiTheme="minorHAnsi" w:hAnsiTheme="minorHAnsi" w:cstheme="minorHAnsi"/>
                <w:color w:val="000000"/>
                <w:sz w:val="18"/>
                <w:szCs w:val="18"/>
              </w:rPr>
            </w:pPr>
            <w:r w:rsidRPr="00DE68A1">
              <w:rPr>
                <w:rFonts w:ascii="Calibri" w:hAnsi="Calibri" w:cs="Calibri"/>
                <w:color w:val="000000"/>
                <w:sz w:val="22"/>
                <w:szCs w:val="22"/>
              </w:rPr>
              <w:t>37</w:t>
            </w:r>
          </w:p>
        </w:tc>
        <w:tc>
          <w:tcPr>
            <w:tcW w:w="2030" w:type="dxa"/>
            <w:tcBorders>
              <w:top w:val="nil"/>
              <w:left w:val="nil"/>
              <w:bottom w:val="single" w:sz="4" w:space="0" w:color="auto"/>
              <w:right w:val="single" w:sz="8" w:space="0" w:color="auto"/>
            </w:tcBorders>
            <w:noWrap/>
            <w:vAlign w:val="bottom"/>
          </w:tcPr>
          <w:p w14:paraId="482640E9" w14:textId="731868CE" w:rsidR="003045EE" w:rsidRPr="00DE68A1" w:rsidRDefault="003045EE" w:rsidP="003045EE">
            <w:pPr>
              <w:bidi w:val="0"/>
              <w:jc w:val="right"/>
              <w:rPr>
                <w:rFonts w:asciiTheme="minorHAnsi" w:hAnsiTheme="minorHAnsi" w:cstheme="minorHAnsi"/>
                <w:color w:val="000000"/>
                <w:sz w:val="18"/>
                <w:szCs w:val="18"/>
              </w:rPr>
            </w:pPr>
            <w:r w:rsidRPr="00DE68A1">
              <w:rPr>
                <w:rFonts w:ascii="Calibri" w:hAnsi="Calibri" w:cs="Calibri"/>
                <w:color w:val="000000"/>
                <w:sz w:val="22"/>
                <w:szCs w:val="22"/>
              </w:rPr>
              <w:t>1.</w:t>
            </w:r>
            <w:r w:rsidR="00601D57">
              <w:rPr>
                <w:rFonts w:ascii="Calibri" w:hAnsi="Calibri" w:cs="Calibri"/>
                <w:color w:val="000000"/>
                <w:sz w:val="22"/>
                <w:szCs w:val="22"/>
              </w:rPr>
              <w:t>1</w:t>
            </w:r>
            <w:r w:rsidRPr="00DE68A1">
              <w:rPr>
                <w:rFonts w:ascii="Calibri" w:hAnsi="Calibri" w:cs="Calibri"/>
                <w:color w:val="000000"/>
                <w:sz w:val="22"/>
                <w:szCs w:val="22"/>
              </w:rPr>
              <w:t>%</w:t>
            </w:r>
          </w:p>
        </w:tc>
      </w:tr>
      <w:tr w:rsidR="003045EE" w:rsidRPr="00DE68A1" w14:paraId="2A45BFC3" w14:textId="77777777" w:rsidTr="001D2EA5">
        <w:trPr>
          <w:trHeight w:val="220"/>
        </w:trPr>
        <w:tc>
          <w:tcPr>
            <w:tcW w:w="1865" w:type="dxa"/>
            <w:tcBorders>
              <w:top w:val="nil"/>
              <w:left w:val="single" w:sz="8" w:space="0" w:color="auto"/>
              <w:bottom w:val="single" w:sz="4" w:space="0" w:color="auto"/>
              <w:right w:val="single" w:sz="4" w:space="0" w:color="auto"/>
            </w:tcBorders>
            <w:noWrap/>
            <w:vAlign w:val="center"/>
            <w:hideMark/>
          </w:tcPr>
          <w:p w14:paraId="36A311AB" w14:textId="11271970" w:rsidR="003045EE" w:rsidRPr="00DE68A1" w:rsidRDefault="003045EE" w:rsidP="003045EE">
            <w:pPr>
              <w:bidi w:val="0"/>
              <w:rPr>
                <w:rFonts w:asciiTheme="minorHAnsi" w:hAnsiTheme="minorHAnsi" w:cstheme="minorHAnsi"/>
                <w:color w:val="000000"/>
                <w:sz w:val="18"/>
                <w:szCs w:val="18"/>
              </w:rPr>
            </w:pPr>
            <w:r w:rsidRPr="00DE68A1">
              <w:rPr>
                <w:rFonts w:asciiTheme="minorHAnsi" w:hAnsiTheme="minorHAnsi" w:cstheme="minorHAnsi"/>
                <w:sz w:val="18"/>
                <w:szCs w:val="18"/>
              </w:rPr>
              <w:t>91 ≤ 180</w:t>
            </w:r>
          </w:p>
        </w:tc>
        <w:tc>
          <w:tcPr>
            <w:tcW w:w="1978" w:type="dxa"/>
            <w:tcBorders>
              <w:top w:val="nil"/>
              <w:left w:val="single" w:sz="4" w:space="0" w:color="auto"/>
              <w:bottom w:val="single" w:sz="4" w:space="0" w:color="auto"/>
              <w:right w:val="single" w:sz="4" w:space="0" w:color="auto"/>
            </w:tcBorders>
            <w:noWrap/>
            <w:vAlign w:val="bottom"/>
            <w:hideMark/>
          </w:tcPr>
          <w:p w14:paraId="28E99295" w14:textId="5EE96667" w:rsidR="003045EE" w:rsidRPr="00DE68A1" w:rsidRDefault="003045EE" w:rsidP="003045EE">
            <w:pPr>
              <w:bidi w:val="0"/>
              <w:jc w:val="right"/>
              <w:rPr>
                <w:rFonts w:asciiTheme="minorHAnsi" w:hAnsiTheme="minorHAnsi" w:cstheme="minorHAnsi"/>
                <w:color w:val="000000"/>
                <w:sz w:val="18"/>
                <w:szCs w:val="18"/>
              </w:rPr>
            </w:pPr>
            <w:r w:rsidRPr="00DE68A1">
              <w:rPr>
                <w:rFonts w:ascii="Calibri" w:hAnsi="Calibri" w:cs="Calibri"/>
                <w:color w:val="000000"/>
                <w:sz w:val="22"/>
                <w:szCs w:val="22"/>
              </w:rPr>
              <w:t>0</w:t>
            </w:r>
          </w:p>
        </w:tc>
        <w:tc>
          <w:tcPr>
            <w:tcW w:w="2030" w:type="dxa"/>
            <w:tcBorders>
              <w:top w:val="nil"/>
              <w:left w:val="nil"/>
              <w:bottom w:val="single" w:sz="4" w:space="0" w:color="auto"/>
              <w:right w:val="single" w:sz="8" w:space="0" w:color="auto"/>
            </w:tcBorders>
            <w:noWrap/>
            <w:vAlign w:val="bottom"/>
          </w:tcPr>
          <w:p w14:paraId="23A92038" w14:textId="0A79A6BE" w:rsidR="003045EE" w:rsidRPr="00DE68A1" w:rsidRDefault="003045EE" w:rsidP="003045EE">
            <w:pPr>
              <w:bidi w:val="0"/>
              <w:jc w:val="right"/>
              <w:rPr>
                <w:rFonts w:asciiTheme="minorHAnsi" w:hAnsiTheme="minorHAnsi" w:cstheme="minorHAnsi"/>
                <w:color w:val="000000"/>
                <w:sz w:val="18"/>
                <w:szCs w:val="18"/>
              </w:rPr>
            </w:pPr>
            <w:r w:rsidRPr="00DE68A1">
              <w:rPr>
                <w:rFonts w:ascii="Calibri" w:hAnsi="Calibri" w:cs="Calibri"/>
                <w:color w:val="000000"/>
                <w:sz w:val="22"/>
                <w:szCs w:val="22"/>
              </w:rPr>
              <w:t>0.0%</w:t>
            </w:r>
          </w:p>
        </w:tc>
      </w:tr>
      <w:tr w:rsidR="00601D57" w:rsidRPr="00DE68A1" w14:paraId="020E0C43" w14:textId="77777777" w:rsidTr="001F403E">
        <w:trPr>
          <w:trHeight w:val="220"/>
        </w:trPr>
        <w:tc>
          <w:tcPr>
            <w:tcW w:w="1865" w:type="dxa"/>
            <w:tcBorders>
              <w:top w:val="nil"/>
              <w:left w:val="single" w:sz="8" w:space="0" w:color="auto"/>
              <w:bottom w:val="single" w:sz="4" w:space="0" w:color="auto"/>
              <w:right w:val="single" w:sz="4" w:space="0" w:color="auto"/>
            </w:tcBorders>
            <w:noWrap/>
            <w:vAlign w:val="center"/>
            <w:hideMark/>
          </w:tcPr>
          <w:p w14:paraId="50DA7740" w14:textId="55387D50" w:rsidR="00601D57" w:rsidRPr="00DE68A1" w:rsidRDefault="00601D57" w:rsidP="00601D57">
            <w:pPr>
              <w:bidi w:val="0"/>
              <w:rPr>
                <w:rFonts w:asciiTheme="minorHAnsi" w:hAnsiTheme="minorHAnsi" w:cstheme="minorHAnsi"/>
                <w:color w:val="000000"/>
                <w:sz w:val="18"/>
                <w:szCs w:val="18"/>
              </w:rPr>
            </w:pPr>
            <w:r w:rsidRPr="00DE68A1">
              <w:rPr>
                <w:rFonts w:asciiTheme="minorHAnsi" w:hAnsiTheme="minorHAnsi" w:cstheme="minorHAnsi"/>
                <w:sz w:val="18"/>
                <w:szCs w:val="18"/>
              </w:rPr>
              <w:t>181 ≤ 364</w:t>
            </w:r>
          </w:p>
        </w:tc>
        <w:tc>
          <w:tcPr>
            <w:tcW w:w="1978" w:type="dxa"/>
            <w:tcBorders>
              <w:top w:val="nil"/>
              <w:left w:val="single" w:sz="4" w:space="0" w:color="auto"/>
              <w:bottom w:val="single" w:sz="4" w:space="0" w:color="auto"/>
              <w:right w:val="single" w:sz="4" w:space="0" w:color="auto"/>
            </w:tcBorders>
            <w:noWrap/>
            <w:hideMark/>
          </w:tcPr>
          <w:p w14:paraId="681DC32A" w14:textId="2072CF8A" w:rsidR="00601D57" w:rsidRPr="00DE68A1" w:rsidRDefault="00601D57" w:rsidP="00601D57">
            <w:pPr>
              <w:bidi w:val="0"/>
              <w:jc w:val="right"/>
              <w:rPr>
                <w:rFonts w:asciiTheme="minorHAnsi" w:hAnsiTheme="minorHAnsi" w:cstheme="minorHAnsi"/>
                <w:color w:val="000000"/>
                <w:sz w:val="18"/>
                <w:szCs w:val="18"/>
              </w:rPr>
            </w:pPr>
            <w:r w:rsidRPr="00075500">
              <w:rPr>
                <w:rFonts w:ascii="Calibri" w:hAnsi="Calibri" w:cs="Calibri"/>
                <w:color w:val="000000"/>
                <w:sz w:val="22"/>
                <w:szCs w:val="22"/>
              </w:rPr>
              <w:t>0</w:t>
            </w:r>
          </w:p>
        </w:tc>
        <w:tc>
          <w:tcPr>
            <w:tcW w:w="2030" w:type="dxa"/>
            <w:tcBorders>
              <w:top w:val="nil"/>
              <w:left w:val="nil"/>
              <w:bottom w:val="single" w:sz="4" w:space="0" w:color="auto"/>
              <w:right w:val="single" w:sz="8" w:space="0" w:color="auto"/>
            </w:tcBorders>
            <w:noWrap/>
            <w:vAlign w:val="bottom"/>
          </w:tcPr>
          <w:p w14:paraId="58D51832" w14:textId="77FE7CE5" w:rsidR="00601D57" w:rsidRPr="00DE68A1" w:rsidRDefault="00601D57" w:rsidP="00601D57">
            <w:pPr>
              <w:bidi w:val="0"/>
              <w:jc w:val="right"/>
              <w:rPr>
                <w:rFonts w:asciiTheme="minorHAnsi" w:hAnsiTheme="minorHAnsi" w:cstheme="minorHAnsi"/>
                <w:color w:val="000000"/>
                <w:sz w:val="18"/>
                <w:szCs w:val="18"/>
              </w:rPr>
            </w:pPr>
            <w:r w:rsidRPr="00DE68A1">
              <w:rPr>
                <w:rFonts w:ascii="Calibri" w:hAnsi="Calibri" w:cs="Calibri"/>
                <w:color w:val="000000"/>
                <w:sz w:val="22"/>
                <w:szCs w:val="22"/>
              </w:rPr>
              <w:t>0.0%</w:t>
            </w:r>
          </w:p>
        </w:tc>
      </w:tr>
      <w:tr w:rsidR="00601D57" w:rsidRPr="00DE68A1" w14:paraId="46E82E5C" w14:textId="77777777" w:rsidTr="001F403E">
        <w:trPr>
          <w:trHeight w:val="220"/>
        </w:trPr>
        <w:tc>
          <w:tcPr>
            <w:tcW w:w="1865" w:type="dxa"/>
            <w:tcBorders>
              <w:top w:val="nil"/>
              <w:left w:val="single" w:sz="8" w:space="0" w:color="auto"/>
              <w:bottom w:val="single" w:sz="4" w:space="0" w:color="auto"/>
              <w:right w:val="single" w:sz="4" w:space="0" w:color="auto"/>
            </w:tcBorders>
            <w:noWrap/>
            <w:vAlign w:val="center"/>
            <w:hideMark/>
          </w:tcPr>
          <w:p w14:paraId="6FF90E80" w14:textId="0331F761" w:rsidR="00601D57" w:rsidRPr="00DE68A1" w:rsidRDefault="00601D57" w:rsidP="00601D57">
            <w:pPr>
              <w:bidi w:val="0"/>
              <w:rPr>
                <w:rFonts w:asciiTheme="minorHAnsi" w:hAnsiTheme="minorHAnsi" w:cstheme="minorHAnsi"/>
                <w:color w:val="000000"/>
                <w:sz w:val="18"/>
                <w:szCs w:val="18"/>
              </w:rPr>
            </w:pPr>
            <w:r w:rsidRPr="00DE68A1">
              <w:rPr>
                <w:rFonts w:asciiTheme="minorHAnsi" w:hAnsiTheme="minorHAnsi" w:cstheme="minorHAnsi"/>
                <w:sz w:val="18"/>
                <w:szCs w:val="18"/>
              </w:rPr>
              <w:t>1 year (365) ≤ 3 year</w:t>
            </w:r>
          </w:p>
        </w:tc>
        <w:tc>
          <w:tcPr>
            <w:tcW w:w="1978" w:type="dxa"/>
            <w:tcBorders>
              <w:top w:val="nil"/>
              <w:left w:val="single" w:sz="4" w:space="0" w:color="auto"/>
              <w:bottom w:val="single" w:sz="4" w:space="0" w:color="auto"/>
              <w:right w:val="single" w:sz="4" w:space="0" w:color="auto"/>
            </w:tcBorders>
            <w:noWrap/>
            <w:hideMark/>
          </w:tcPr>
          <w:p w14:paraId="40AE2C21" w14:textId="1CB84746" w:rsidR="00601D57" w:rsidRPr="00DE68A1" w:rsidRDefault="00601D57" w:rsidP="00601D57">
            <w:pPr>
              <w:bidi w:val="0"/>
              <w:jc w:val="right"/>
              <w:rPr>
                <w:rFonts w:asciiTheme="minorHAnsi" w:hAnsiTheme="minorHAnsi" w:cstheme="minorHAnsi"/>
                <w:color w:val="000000"/>
                <w:sz w:val="18"/>
                <w:szCs w:val="18"/>
              </w:rPr>
            </w:pPr>
            <w:r w:rsidRPr="00075500">
              <w:rPr>
                <w:rFonts w:ascii="Calibri" w:hAnsi="Calibri" w:cs="Calibri"/>
                <w:color w:val="000000"/>
                <w:sz w:val="22"/>
                <w:szCs w:val="22"/>
              </w:rPr>
              <w:t>0</w:t>
            </w:r>
          </w:p>
        </w:tc>
        <w:tc>
          <w:tcPr>
            <w:tcW w:w="2030" w:type="dxa"/>
            <w:tcBorders>
              <w:top w:val="nil"/>
              <w:left w:val="nil"/>
              <w:bottom w:val="single" w:sz="4" w:space="0" w:color="auto"/>
              <w:right w:val="single" w:sz="8" w:space="0" w:color="auto"/>
            </w:tcBorders>
            <w:noWrap/>
            <w:vAlign w:val="bottom"/>
          </w:tcPr>
          <w:p w14:paraId="74DFC07B" w14:textId="790A4E08" w:rsidR="00601D57" w:rsidRPr="00DE68A1" w:rsidRDefault="00601D57" w:rsidP="00601D57">
            <w:pPr>
              <w:bidi w:val="0"/>
              <w:jc w:val="right"/>
              <w:rPr>
                <w:rFonts w:asciiTheme="minorHAnsi" w:hAnsiTheme="minorHAnsi" w:cstheme="minorHAnsi"/>
                <w:color w:val="000000"/>
                <w:sz w:val="18"/>
                <w:szCs w:val="18"/>
              </w:rPr>
            </w:pPr>
            <w:r w:rsidRPr="00DE68A1">
              <w:rPr>
                <w:rFonts w:ascii="Calibri" w:hAnsi="Calibri" w:cs="Calibri"/>
                <w:color w:val="000000"/>
                <w:sz w:val="22"/>
                <w:szCs w:val="22"/>
              </w:rPr>
              <w:t>0.0%</w:t>
            </w:r>
          </w:p>
        </w:tc>
      </w:tr>
      <w:tr w:rsidR="00601D57" w:rsidRPr="00DE68A1" w14:paraId="563A0770" w14:textId="77777777" w:rsidTr="001F403E">
        <w:trPr>
          <w:trHeight w:val="220"/>
        </w:trPr>
        <w:tc>
          <w:tcPr>
            <w:tcW w:w="1865" w:type="dxa"/>
            <w:tcBorders>
              <w:top w:val="nil"/>
              <w:left w:val="single" w:sz="8" w:space="0" w:color="auto"/>
              <w:bottom w:val="single" w:sz="4" w:space="0" w:color="auto"/>
              <w:right w:val="single" w:sz="4" w:space="0" w:color="auto"/>
            </w:tcBorders>
            <w:noWrap/>
            <w:vAlign w:val="bottom"/>
            <w:hideMark/>
          </w:tcPr>
          <w:p w14:paraId="54476D0B" w14:textId="04B5CE43" w:rsidR="00601D57" w:rsidRPr="00DE68A1" w:rsidRDefault="00601D57" w:rsidP="00601D57">
            <w:pPr>
              <w:bidi w:val="0"/>
              <w:rPr>
                <w:rFonts w:asciiTheme="minorHAnsi" w:hAnsiTheme="minorHAnsi" w:cstheme="minorHAnsi"/>
                <w:sz w:val="18"/>
                <w:szCs w:val="18"/>
              </w:rPr>
            </w:pPr>
            <w:r w:rsidRPr="00DE68A1">
              <w:rPr>
                <w:rFonts w:asciiTheme="minorHAnsi" w:hAnsiTheme="minorHAnsi" w:cstheme="minorHAnsi"/>
                <w:sz w:val="18"/>
                <w:szCs w:val="18"/>
              </w:rPr>
              <w:t>Above 3 years</w:t>
            </w:r>
          </w:p>
        </w:tc>
        <w:tc>
          <w:tcPr>
            <w:tcW w:w="1978" w:type="dxa"/>
            <w:tcBorders>
              <w:top w:val="nil"/>
              <w:left w:val="single" w:sz="4" w:space="0" w:color="auto"/>
              <w:bottom w:val="nil"/>
              <w:right w:val="single" w:sz="4" w:space="0" w:color="auto"/>
            </w:tcBorders>
            <w:noWrap/>
            <w:hideMark/>
          </w:tcPr>
          <w:p w14:paraId="532F0EDE" w14:textId="7535CC31" w:rsidR="00601D57" w:rsidRPr="00DE68A1" w:rsidRDefault="00601D57" w:rsidP="00601D57">
            <w:pPr>
              <w:bidi w:val="0"/>
              <w:jc w:val="right"/>
              <w:rPr>
                <w:rFonts w:asciiTheme="minorHAnsi" w:hAnsiTheme="minorHAnsi" w:cstheme="minorHAnsi"/>
                <w:sz w:val="18"/>
                <w:szCs w:val="18"/>
              </w:rPr>
            </w:pPr>
            <w:r w:rsidRPr="00075500">
              <w:rPr>
                <w:rFonts w:ascii="Calibri" w:hAnsi="Calibri" w:cs="Calibri"/>
                <w:color w:val="000000"/>
                <w:sz w:val="22"/>
                <w:szCs w:val="22"/>
              </w:rPr>
              <w:t>0</w:t>
            </w:r>
          </w:p>
        </w:tc>
        <w:tc>
          <w:tcPr>
            <w:tcW w:w="2030" w:type="dxa"/>
            <w:tcBorders>
              <w:top w:val="nil"/>
              <w:left w:val="nil"/>
              <w:bottom w:val="single" w:sz="4" w:space="0" w:color="auto"/>
              <w:right w:val="single" w:sz="8" w:space="0" w:color="auto"/>
            </w:tcBorders>
            <w:noWrap/>
            <w:vAlign w:val="bottom"/>
          </w:tcPr>
          <w:p w14:paraId="4F5A4C9D" w14:textId="1B607807" w:rsidR="00601D57" w:rsidRPr="00DE68A1" w:rsidRDefault="00601D57" w:rsidP="00601D57">
            <w:pPr>
              <w:bidi w:val="0"/>
              <w:jc w:val="right"/>
              <w:rPr>
                <w:rFonts w:asciiTheme="minorHAnsi" w:hAnsiTheme="minorHAnsi" w:cstheme="minorHAnsi"/>
                <w:sz w:val="18"/>
                <w:szCs w:val="18"/>
              </w:rPr>
            </w:pPr>
            <w:r w:rsidRPr="00DE68A1">
              <w:rPr>
                <w:rFonts w:ascii="Calibri" w:hAnsi="Calibri" w:cs="Calibri"/>
                <w:color w:val="000000"/>
                <w:sz w:val="22"/>
                <w:szCs w:val="22"/>
              </w:rPr>
              <w:t>0.0%</w:t>
            </w:r>
          </w:p>
        </w:tc>
      </w:tr>
      <w:tr w:rsidR="003045EE" w:rsidRPr="00DE68A1" w14:paraId="0D00809B" w14:textId="77777777" w:rsidTr="001D2EA5">
        <w:trPr>
          <w:trHeight w:val="230"/>
        </w:trPr>
        <w:tc>
          <w:tcPr>
            <w:tcW w:w="1865" w:type="dxa"/>
            <w:tcBorders>
              <w:top w:val="nil"/>
              <w:left w:val="single" w:sz="8" w:space="0" w:color="auto"/>
              <w:bottom w:val="single" w:sz="8" w:space="0" w:color="auto"/>
              <w:right w:val="single" w:sz="4" w:space="0" w:color="auto"/>
            </w:tcBorders>
            <w:noWrap/>
            <w:vAlign w:val="bottom"/>
            <w:hideMark/>
          </w:tcPr>
          <w:p w14:paraId="0B3C3CD1" w14:textId="6E68AA7F" w:rsidR="003045EE" w:rsidRPr="00DE68A1" w:rsidRDefault="003045EE" w:rsidP="003045EE">
            <w:pPr>
              <w:bidi w:val="0"/>
              <w:rPr>
                <w:rFonts w:asciiTheme="minorHAnsi" w:hAnsiTheme="minorHAnsi" w:cstheme="minorHAnsi"/>
                <w:sz w:val="18"/>
                <w:szCs w:val="18"/>
              </w:rPr>
            </w:pPr>
            <w:r w:rsidRPr="00DE68A1">
              <w:rPr>
                <w:rFonts w:asciiTheme="minorHAnsi" w:hAnsiTheme="minorHAnsi" w:cstheme="minorHAnsi"/>
                <w:sz w:val="18"/>
                <w:szCs w:val="18"/>
              </w:rPr>
              <w:t xml:space="preserve">Total </w:t>
            </w:r>
          </w:p>
        </w:tc>
        <w:tc>
          <w:tcPr>
            <w:tcW w:w="1978" w:type="dxa"/>
            <w:tcBorders>
              <w:top w:val="single" w:sz="4" w:space="0" w:color="auto"/>
              <w:left w:val="single" w:sz="4" w:space="0" w:color="auto"/>
              <w:bottom w:val="single" w:sz="8" w:space="0" w:color="auto"/>
              <w:right w:val="single" w:sz="4" w:space="0" w:color="auto"/>
            </w:tcBorders>
            <w:noWrap/>
            <w:vAlign w:val="bottom"/>
            <w:hideMark/>
          </w:tcPr>
          <w:p w14:paraId="20F5CB56" w14:textId="04FB8791" w:rsidR="003045EE" w:rsidRPr="00DE68A1" w:rsidRDefault="003045EE" w:rsidP="003045EE">
            <w:pPr>
              <w:bidi w:val="0"/>
              <w:jc w:val="right"/>
              <w:rPr>
                <w:rFonts w:asciiTheme="minorHAnsi" w:hAnsiTheme="minorHAnsi" w:cstheme="minorHAnsi"/>
                <w:b/>
                <w:bCs/>
                <w:sz w:val="18"/>
                <w:szCs w:val="18"/>
              </w:rPr>
            </w:pPr>
            <w:r w:rsidRPr="00DE68A1">
              <w:rPr>
                <w:rFonts w:ascii="Calibri" w:hAnsi="Calibri" w:cs="Calibri"/>
                <w:color w:val="000000"/>
                <w:sz w:val="22"/>
                <w:szCs w:val="22"/>
              </w:rPr>
              <w:t>3</w:t>
            </w:r>
            <w:r w:rsidR="00601D57">
              <w:rPr>
                <w:rFonts w:ascii="Calibri" w:hAnsi="Calibri" w:cs="Calibri"/>
                <w:color w:val="000000"/>
                <w:sz w:val="22"/>
                <w:szCs w:val="22"/>
              </w:rPr>
              <w:t>,</w:t>
            </w:r>
            <w:r w:rsidRPr="00DE68A1">
              <w:rPr>
                <w:rFonts w:ascii="Calibri" w:hAnsi="Calibri" w:cs="Calibri"/>
                <w:color w:val="000000"/>
                <w:sz w:val="22"/>
                <w:szCs w:val="22"/>
              </w:rPr>
              <w:t>455</w:t>
            </w:r>
          </w:p>
        </w:tc>
        <w:tc>
          <w:tcPr>
            <w:tcW w:w="2030" w:type="dxa"/>
            <w:tcBorders>
              <w:top w:val="nil"/>
              <w:left w:val="nil"/>
              <w:bottom w:val="single" w:sz="4" w:space="0" w:color="auto"/>
              <w:right w:val="single" w:sz="8" w:space="0" w:color="auto"/>
            </w:tcBorders>
            <w:noWrap/>
            <w:vAlign w:val="bottom"/>
          </w:tcPr>
          <w:p w14:paraId="10865892" w14:textId="4A57F343" w:rsidR="003045EE" w:rsidRPr="00DE68A1" w:rsidRDefault="003045EE" w:rsidP="003045EE">
            <w:pPr>
              <w:bidi w:val="0"/>
              <w:jc w:val="right"/>
              <w:rPr>
                <w:rFonts w:asciiTheme="minorHAnsi" w:hAnsiTheme="minorHAnsi" w:cstheme="minorHAnsi"/>
                <w:b/>
                <w:bCs/>
                <w:sz w:val="18"/>
                <w:szCs w:val="18"/>
              </w:rPr>
            </w:pPr>
            <w:r w:rsidRPr="00DE68A1">
              <w:rPr>
                <w:rFonts w:ascii="Calibri" w:hAnsi="Calibri" w:cs="Calibri"/>
                <w:color w:val="000000"/>
                <w:sz w:val="22"/>
                <w:szCs w:val="22"/>
              </w:rPr>
              <w:t>100.00%</w:t>
            </w:r>
          </w:p>
        </w:tc>
      </w:tr>
    </w:tbl>
    <w:p w14:paraId="67526A30" w14:textId="77777777" w:rsidR="000444BF" w:rsidRPr="00DE68A1" w:rsidRDefault="000444BF" w:rsidP="000444BF">
      <w:pPr>
        <w:bidi w:val="0"/>
      </w:pPr>
    </w:p>
    <w:p w14:paraId="5FC08FE6" w14:textId="5679860E" w:rsidR="00EC35AF" w:rsidRPr="00DE68A1" w:rsidRDefault="006A12FE" w:rsidP="00F13429">
      <w:pPr>
        <w:bidi w:val="0"/>
        <w:ind w:left="-360"/>
        <w:jc w:val="lowKashida"/>
        <w:rPr>
          <w:color w:val="000000" w:themeColor="text1"/>
        </w:rPr>
      </w:pPr>
      <w:r w:rsidRPr="00DE68A1">
        <w:rPr>
          <w:color w:val="FF0000"/>
        </w:rPr>
        <w:t xml:space="preserve">  </w:t>
      </w:r>
      <w:r w:rsidR="000444BF" w:rsidRPr="00DE68A1">
        <w:rPr>
          <w:color w:val="FF0000"/>
        </w:rPr>
        <w:tab/>
      </w:r>
      <w:r w:rsidRPr="00DE68A1">
        <w:t xml:space="preserve">The ratio of Non-Performing Loans (NPL) to credit exposure stood </w:t>
      </w:r>
      <w:r w:rsidR="001D2EA5" w:rsidRPr="00DE68A1">
        <w:t xml:space="preserve">at </w:t>
      </w:r>
      <w:r w:rsidR="00936D3C" w:rsidRPr="00DE68A1">
        <w:t>0.05</w:t>
      </w:r>
      <w:r w:rsidR="00412462" w:rsidRPr="00DE68A1">
        <w:t>%</w:t>
      </w:r>
      <w:r w:rsidR="00C35402" w:rsidRPr="00DE68A1">
        <w:t xml:space="preserve"> </w:t>
      </w:r>
      <w:r w:rsidR="009942F7" w:rsidRPr="00DE68A1">
        <w:t>as</w:t>
      </w:r>
      <w:r w:rsidRPr="00DE68A1">
        <w:t xml:space="preserve"> on 31.12.</w:t>
      </w:r>
      <w:r w:rsidR="00E01875" w:rsidRPr="00DE68A1">
        <w:rPr>
          <w:color w:val="000000" w:themeColor="text1"/>
        </w:rPr>
        <w:t>202</w:t>
      </w:r>
      <w:r w:rsidR="00072896" w:rsidRPr="00DE68A1">
        <w:rPr>
          <w:color w:val="000000" w:themeColor="text1"/>
        </w:rPr>
        <w:t>5</w:t>
      </w:r>
      <w:r w:rsidR="00517058" w:rsidRPr="00DE68A1">
        <w:rPr>
          <w:color w:val="000000" w:themeColor="text1"/>
        </w:rPr>
        <w:t>.</w:t>
      </w:r>
    </w:p>
    <w:p w14:paraId="0B0CCE37" w14:textId="0F487259" w:rsidR="00E44F29" w:rsidRPr="00DE68A1" w:rsidRDefault="00E44F29" w:rsidP="00E44F29">
      <w:pPr>
        <w:bidi w:val="0"/>
        <w:ind w:left="-360"/>
        <w:jc w:val="lowKashida"/>
      </w:pPr>
    </w:p>
    <w:p w14:paraId="78D9F02C" w14:textId="618BC6DE" w:rsidR="00130980" w:rsidRPr="00DE68A1" w:rsidRDefault="00130980" w:rsidP="008B5922">
      <w:pPr>
        <w:bidi w:val="0"/>
        <w:spacing w:line="276" w:lineRule="auto"/>
        <w:jc w:val="lowKashida"/>
      </w:pPr>
      <w:r w:rsidRPr="00DE68A1">
        <w:t>(iv) Loan Loss Provisions as per International Financial Reporting Standards (IFRS-9):</w:t>
      </w:r>
    </w:p>
    <w:p w14:paraId="33AAE434" w14:textId="77777777" w:rsidR="00130980" w:rsidRPr="00DE68A1" w:rsidRDefault="00130980" w:rsidP="008B5922">
      <w:pPr>
        <w:bidi w:val="0"/>
        <w:spacing w:after="200" w:line="276" w:lineRule="auto"/>
        <w:jc w:val="both"/>
        <w:rPr>
          <w:rFonts w:eastAsia="Calibri"/>
        </w:rPr>
      </w:pPr>
      <w:r w:rsidRPr="00DE68A1">
        <w:rPr>
          <w:rFonts w:eastAsia="Calibri"/>
        </w:rPr>
        <w:t xml:space="preserve">According to CBK guidelines credit loss provisions are calculated based on IFRS9-CBK criteria, as well as CBK’s existing criteria as explained above. The higher of the two applies. </w:t>
      </w:r>
    </w:p>
    <w:p w14:paraId="55E0F960" w14:textId="599F670B" w:rsidR="00130980" w:rsidRPr="00DE68A1" w:rsidRDefault="00130980" w:rsidP="00130980">
      <w:pPr>
        <w:bidi w:val="0"/>
        <w:spacing w:after="200" w:line="276" w:lineRule="auto"/>
        <w:jc w:val="both"/>
        <w:rPr>
          <w:rFonts w:eastAsia="Calibri"/>
        </w:rPr>
      </w:pPr>
      <w:r w:rsidRPr="00DE68A1">
        <w:rPr>
          <w:rFonts w:eastAsia="Calibri"/>
        </w:rPr>
        <w:t xml:space="preserve">According to the IFRS9 method, the Bank is required to maintain provisions for performing credits in Stage 1 where credits are not impaired. However, there are three staging levels/criteria in the process. The placement in a stage classification depends on multiple factors, i.e. the credit </w:t>
      </w:r>
      <w:r w:rsidRPr="00DE68A1">
        <w:rPr>
          <w:rFonts w:eastAsia="Calibri"/>
        </w:rPr>
        <w:lastRenderedPageBreak/>
        <w:t xml:space="preserve">rating, class probability of default, delinquency record and other information of significant rise in credit risk. The objective is to have a forward-looking statistical estimate of loan loss provisions. The Bank uses its internal credit rating system and classification system to model </w:t>
      </w:r>
      <w:r w:rsidR="0037552D">
        <w:rPr>
          <w:rFonts w:eastAsia="Calibri"/>
        </w:rPr>
        <w:t>credit risk</w:t>
      </w:r>
      <w:r w:rsidRPr="00DE68A1">
        <w:rPr>
          <w:rFonts w:eastAsia="Calibri"/>
        </w:rPr>
        <w:t xml:space="preserve"> and calculate the probabilities of default. This is then used in the model with the Loss Given Default rate (1 minus the recovery rate) and the Exposure at Default.</w:t>
      </w:r>
    </w:p>
    <w:p w14:paraId="6EC4F84E" w14:textId="4F5E7DC2" w:rsidR="00130980" w:rsidRPr="00DE68A1" w:rsidRDefault="00130980" w:rsidP="00130980">
      <w:pPr>
        <w:bidi w:val="0"/>
        <w:spacing w:after="200" w:line="276" w:lineRule="auto"/>
        <w:jc w:val="both"/>
        <w:rPr>
          <w:rFonts w:eastAsia="Calibri"/>
        </w:rPr>
      </w:pPr>
      <w:r w:rsidRPr="00DE68A1">
        <w:rPr>
          <w:rFonts w:eastAsia="Calibri"/>
        </w:rPr>
        <w:t>IFRS-9 Stage 1 is for performing and regular credits. Stage 2 is for credits where the risk levels have risen and as per CBK, the company is at least 30 days delinquent. Stage-3 is where there is significant rise in credit risk and as per CBK at least 90 days delinquent. Customer lists classified as per IFRS9 Staging criteria are submitted to the Bank’s Provisions Committee and IFRS-9 data is reported to the Central Bank of Kuwait. As the Bank has maintained more provisions as per the traditional CBK method, and as the higher of the two methods applies, the Bank has continued to make provisions based on the CBK method as described above.</w:t>
      </w:r>
    </w:p>
    <w:p w14:paraId="21BCA894" w14:textId="2EC5A5CD" w:rsidR="000A380A" w:rsidRPr="00DE68A1" w:rsidRDefault="00B31BF5" w:rsidP="00130980">
      <w:pPr>
        <w:bidi w:val="0"/>
        <w:ind w:left="-360"/>
        <w:jc w:val="lowKashida"/>
      </w:pPr>
      <w:r w:rsidRPr="00DE68A1">
        <w:t xml:space="preserve">      B. Sovereign Exposures:</w:t>
      </w:r>
    </w:p>
    <w:p w14:paraId="34840109" w14:textId="3F58947C" w:rsidR="00E05DAD" w:rsidRPr="00DE68A1" w:rsidRDefault="00517058" w:rsidP="00E05DAD">
      <w:pPr>
        <w:bidi w:val="0"/>
        <w:jc w:val="lowKashida"/>
        <w:rPr>
          <w:color w:val="000000" w:themeColor="text1"/>
        </w:rPr>
      </w:pPr>
      <w:r w:rsidRPr="00DE68A1">
        <w:rPr>
          <w:color w:val="000000" w:themeColor="text1"/>
        </w:rPr>
        <w:t xml:space="preserve">The Bank has a </w:t>
      </w:r>
      <w:r w:rsidR="00F843E1" w:rsidRPr="00DE68A1">
        <w:rPr>
          <w:color w:val="000000" w:themeColor="text1"/>
        </w:rPr>
        <w:t>minimal sovereign exposure</w:t>
      </w:r>
      <w:r w:rsidRPr="00DE68A1">
        <w:rPr>
          <w:color w:val="000000" w:themeColor="text1"/>
        </w:rPr>
        <w:t xml:space="preserve"> and the capital charge for that exposure is computed based on the guidelines issued by CBK from time to time.</w:t>
      </w:r>
    </w:p>
    <w:p w14:paraId="788F6677" w14:textId="04C2A5EF" w:rsidR="00E05DAD" w:rsidRPr="00DE68A1" w:rsidRDefault="00E05DAD" w:rsidP="00E05DAD">
      <w:pPr>
        <w:bidi w:val="0"/>
        <w:jc w:val="lowKashida"/>
        <w:rPr>
          <w:color w:val="000000" w:themeColor="text1"/>
        </w:rPr>
      </w:pPr>
    </w:p>
    <w:p w14:paraId="60A4A8A7" w14:textId="427B6BF8" w:rsidR="00B07F25" w:rsidRPr="00DE68A1" w:rsidRDefault="00B07F25" w:rsidP="00CD6F3E">
      <w:pPr>
        <w:bidi w:val="0"/>
        <w:ind w:left="-360" w:firstLine="360"/>
        <w:jc w:val="lowKashida"/>
        <w:rPr>
          <w:color w:val="000000" w:themeColor="text1"/>
        </w:rPr>
      </w:pPr>
      <w:r w:rsidRPr="00DE68A1">
        <w:t xml:space="preserve">C. </w:t>
      </w:r>
      <w:r w:rsidR="00517058" w:rsidRPr="00DE68A1">
        <w:rPr>
          <w:color w:val="000000" w:themeColor="text1"/>
        </w:rPr>
        <w:t xml:space="preserve">Information on Credit Exposures as </w:t>
      </w:r>
      <w:r w:rsidR="001D12CE" w:rsidRPr="00DE68A1">
        <w:rPr>
          <w:color w:val="000000" w:themeColor="text1"/>
        </w:rPr>
        <w:t>of</w:t>
      </w:r>
      <w:r w:rsidR="00517058" w:rsidRPr="00DE68A1">
        <w:rPr>
          <w:color w:val="000000" w:themeColor="text1"/>
        </w:rPr>
        <w:t xml:space="preserve"> 31.12.</w:t>
      </w:r>
      <w:r w:rsidR="00E01875" w:rsidRPr="00DE68A1">
        <w:rPr>
          <w:color w:val="000000" w:themeColor="text1"/>
        </w:rPr>
        <w:t>202</w:t>
      </w:r>
      <w:r w:rsidR="00072896" w:rsidRPr="00DE68A1">
        <w:rPr>
          <w:color w:val="000000" w:themeColor="text1"/>
        </w:rPr>
        <w:t>5</w:t>
      </w:r>
      <w:r w:rsidR="00517058" w:rsidRPr="00DE68A1">
        <w:rPr>
          <w:color w:val="000000" w:themeColor="text1"/>
        </w:rPr>
        <w:t xml:space="preserve"> </w:t>
      </w:r>
      <w:r w:rsidR="00271102" w:rsidRPr="00DE68A1">
        <w:rPr>
          <w:color w:val="000000" w:themeColor="text1"/>
        </w:rPr>
        <w:t>(All figures in KD’000)</w:t>
      </w:r>
    </w:p>
    <w:p w14:paraId="4994372D" w14:textId="2D30B257" w:rsidR="00A05B38" w:rsidRPr="00DE68A1" w:rsidRDefault="00A05B38" w:rsidP="00A05B38">
      <w:pPr>
        <w:bidi w:val="0"/>
        <w:ind w:left="-360" w:firstLine="360"/>
        <w:jc w:val="lowKashida"/>
        <w:rPr>
          <w:color w:val="000000" w:themeColor="text1"/>
        </w:rPr>
      </w:pPr>
    </w:p>
    <w:tbl>
      <w:tblPr>
        <w:tblW w:w="8979" w:type="dxa"/>
        <w:tblInd w:w="118" w:type="dxa"/>
        <w:tblLook w:val="04A0" w:firstRow="1" w:lastRow="0" w:firstColumn="1" w:lastColumn="0" w:noHBand="0" w:noVBand="1"/>
      </w:tblPr>
      <w:tblGrid>
        <w:gridCol w:w="556"/>
        <w:gridCol w:w="3397"/>
        <w:gridCol w:w="1630"/>
        <w:gridCol w:w="1901"/>
        <w:gridCol w:w="1495"/>
      </w:tblGrid>
      <w:tr w:rsidR="00FC6CE4" w:rsidRPr="00DE68A1" w14:paraId="76A1BF3A" w14:textId="77777777" w:rsidTr="00187DF1">
        <w:trPr>
          <w:trHeight w:val="278"/>
        </w:trPr>
        <w:tc>
          <w:tcPr>
            <w:tcW w:w="8979" w:type="dxa"/>
            <w:gridSpan w:val="5"/>
            <w:tcBorders>
              <w:top w:val="single" w:sz="8" w:space="0" w:color="auto"/>
              <w:left w:val="single" w:sz="8" w:space="0" w:color="auto"/>
              <w:bottom w:val="single" w:sz="4" w:space="0" w:color="auto"/>
              <w:right w:val="single" w:sz="8" w:space="0" w:color="000000"/>
            </w:tcBorders>
            <w:shd w:val="clear" w:color="auto" w:fill="D9D9D9" w:themeFill="background1" w:themeFillShade="D9"/>
          </w:tcPr>
          <w:p w14:paraId="30A7CC8B" w14:textId="31442796" w:rsidR="00FC6CE4" w:rsidRPr="00DE68A1" w:rsidRDefault="00FC6CE4" w:rsidP="00284C12">
            <w:pPr>
              <w:bidi w:val="0"/>
              <w:jc w:val="center"/>
              <w:rPr>
                <w:rFonts w:asciiTheme="minorHAnsi" w:hAnsiTheme="minorHAnsi" w:cstheme="minorHAnsi"/>
                <w:b/>
                <w:bCs/>
                <w:sz w:val="20"/>
                <w:szCs w:val="20"/>
              </w:rPr>
            </w:pPr>
            <w:r w:rsidRPr="00DE68A1">
              <w:rPr>
                <w:rFonts w:asciiTheme="minorHAnsi" w:hAnsiTheme="minorHAnsi" w:cstheme="minorHAnsi"/>
                <w:b/>
                <w:bCs/>
                <w:sz w:val="20"/>
                <w:szCs w:val="20"/>
              </w:rPr>
              <w:t xml:space="preserve">Disclosure on Total Credit Risk Exposure (Funded &amp; Non-funded) </w:t>
            </w:r>
          </w:p>
          <w:p w14:paraId="7D63BEF5" w14:textId="7D4413FE" w:rsidR="00FC6CE4" w:rsidRPr="00DE68A1" w:rsidRDefault="00FC6CE4" w:rsidP="00284C12">
            <w:pPr>
              <w:bidi w:val="0"/>
              <w:jc w:val="center"/>
              <w:rPr>
                <w:rFonts w:asciiTheme="minorHAnsi" w:hAnsiTheme="minorHAnsi" w:cstheme="minorHAnsi"/>
                <w:b/>
                <w:bCs/>
                <w:color w:val="FFFFFF"/>
                <w:sz w:val="20"/>
                <w:szCs w:val="20"/>
              </w:rPr>
            </w:pPr>
            <w:r w:rsidRPr="00DE68A1">
              <w:rPr>
                <w:rFonts w:asciiTheme="minorHAnsi" w:hAnsiTheme="minorHAnsi" w:cstheme="minorHAnsi"/>
                <w:b/>
                <w:bCs/>
                <w:sz w:val="20"/>
                <w:szCs w:val="20"/>
              </w:rPr>
              <w:t xml:space="preserve"> Asset Category-wise Report: 31.12.202</w:t>
            </w:r>
            <w:r w:rsidR="00072896" w:rsidRPr="00DE68A1">
              <w:rPr>
                <w:rFonts w:asciiTheme="minorHAnsi" w:hAnsiTheme="minorHAnsi" w:cstheme="minorHAnsi"/>
                <w:b/>
                <w:bCs/>
                <w:sz w:val="20"/>
                <w:szCs w:val="20"/>
              </w:rPr>
              <w:t>5</w:t>
            </w:r>
          </w:p>
        </w:tc>
      </w:tr>
      <w:tr w:rsidR="00131C99" w:rsidRPr="00DE68A1" w14:paraId="3A68187D" w14:textId="77777777" w:rsidTr="00FC6CE4">
        <w:trPr>
          <w:trHeight w:val="556"/>
        </w:trPr>
        <w:tc>
          <w:tcPr>
            <w:tcW w:w="556" w:type="dxa"/>
            <w:tcBorders>
              <w:top w:val="nil"/>
              <w:left w:val="single" w:sz="8" w:space="0" w:color="auto"/>
              <w:bottom w:val="single" w:sz="4" w:space="0" w:color="auto"/>
              <w:right w:val="single" w:sz="4" w:space="0" w:color="auto"/>
            </w:tcBorders>
          </w:tcPr>
          <w:p w14:paraId="43C4C678" w14:textId="77777777" w:rsidR="00131C99" w:rsidRPr="00DE68A1" w:rsidRDefault="00131C99" w:rsidP="00131C99">
            <w:pPr>
              <w:bidi w:val="0"/>
              <w:rPr>
                <w:rFonts w:asciiTheme="minorHAnsi" w:hAnsiTheme="minorHAnsi" w:cstheme="minorHAnsi"/>
                <w:b/>
                <w:bCs/>
                <w:color w:val="000000"/>
                <w:sz w:val="20"/>
                <w:szCs w:val="20"/>
              </w:rPr>
            </w:pPr>
          </w:p>
        </w:tc>
        <w:tc>
          <w:tcPr>
            <w:tcW w:w="3397" w:type="dxa"/>
            <w:tcBorders>
              <w:top w:val="nil"/>
              <w:left w:val="single" w:sz="8" w:space="0" w:color="auto"/>
              <w:bottom w:val="single" w:sz="4" w:space="0" w:color="auto"/>
              <w:right w:val="single" w:sz="4" w:space="0" w:color="auto"/>
            </w:tcBorders>
            <w:noWrap/>
            <w:vAlign w:val="center"/>
            <w:hideMark/>
          </w:tcPr>
          <w:p w14:paraId="36320896" w14:textId="4CCBDC07" w:rsidR="00131C99" w:rsidRPr="00DE68A1" w:rsidRDefault="00131C99" w:rsidP="00131C99">
            <w:pPr>
              <w:bidi w:val="0"/>
              <w:rPr>
                <w:rFonts w:asciiTheme="minorHAnsi" w:hAnsiTheme="minorHAnsi" w:cstheme="minorHAnsi"/>
                <w:b/>
                <w:bCs/>
                <w:color w:val="000000"/>
                <w:sz w:val="20"/>
                <w:szCs w:val="20"/>
              </w:rPr>
            </w:pPr>
            <w:r w:rsidRPr="00DE68A1">
              <w:rPr>
                <w:rFonts w:asciiTheme="minorHAnsi" w:hAnsiTheme="minorHAnsi" w:cstheme="minorHAnsi"/>
                <w:b/>
                <w:bCs/>
                <w:color w:val="000000"/>
                <w:sz w:val="20"/>
                <w:szCs w:val="20"/>
              </w:rPr>
              <w:t>Asset Category</w:t>
            </w:r>
          </w:p>
        </w:tc>
        <w:tc>
          <w:tcPr>
            <w:tcW w:w="1630" w:type="dxa"/>
            <w:tcBorders>
              <w:top w:val="nil"/>
              <w:left w:val="nil"/>
              <w:bottom w:val="single" w:sz="4" w:space="0" w:color="auto"/>
              <w:right w:val="single" w:sz="4" w:space="0" w:color="auto"/>
            </w:tcBorders>
            <w:vAlign w:val="center"/>
            <w:hideMark/>
          </w:tcPr>
          <w:p w14:paraId="3880275A" w14:textId="77777777" w:rsidR="00131C99" w:rsidRPr="00DE68A1" w:rsidRDefault="00131C99" w:rsidP="00131C99">
            <w:pPr>
              <w:bidi w:val="0"/>
              <w:jc w:val="center"/>
              <w:rPr>
                <w:rFonts w:asciiTheme="minorHAnsi" w:hAnsiTheme="minorHAnsi" w:cstheme="minorHAnsi"/>
                <w:b/>
                <w:bCs/>
                <w:color w:val="000000"/>
                <w:sz w:val="20"/>
                <w:szCs w:val="20"/>
              </w:rPr>
            </w:pPr>
            <w:r w:rsidRPr="00DE68A1">
              <w:rPr>
                <w:rFonts w:asciiTheme="minorHAnsi" w:hAnsiTheme="minorHAnsi" w:cstheme="minorHAnsi"/>
                <w:b/>
                <w:bCs/>
                <w:color w:val="000000"/>
                <w:sz w:val="20"/>
                <w:szCs w:val="20"/>
              </w:rPr>
              <w:t>Funded Credit Risk Exposure</w:t>
            </w:r>
          </w:p>
        </w:tc>
        <w:tc>
          <w:tcPr>
            <w:tcW w:w="1901" w:type="dxa"/>
            <w:tcBorders>
              <w:top w:val="nil"/>
              <w:left w:val="nil"/>
              <w:bottom w:val="single" w:sz="4" w:space="0" w:color="auto"/>
              <w:right w:val="single" w:sz="4" w:space="0" w:color="auto"/>
            </w:tcBorders>
            <w:vAlign w:val="center"/>
            <w:hideMark/>
          </w:tcPr>
          <w:p w14:paraId="27727EC4" w14:textId="3460D756" w:rsidR="00131C99" w:rsidRPr="00DE68A1" w:rsidRDefault="00131C99" w:rsidP="00131C99">
            <w:pPr>
              <w:bidi w:val="0"/>
              <w:jc w:val="center"/>
              <w:rPr>
                <w:rFonts w:asciiTheme="minorHAnsi" w:hAnsiTheme="minorHAnsi" w:cstheme="minorHAnsi"/>
                <w:b/>
                <w:bCs/>
                <w:color w:val="000000"/>
                <w:sz w:val="20"/>
                <w:szCs w:val="20"/>
              </w:rPr>
            </w:pPr>
            <w:r w:rsidRPr="00DE68A1">
              <w:rPr>
                <w:rFonts w:asciiTheme="minorHAnsi" w:hAnsiTheme="minorHAnsi" w:cstheme="minorHAnsi"/>
                <w:b/>
                <w:bCs/>
                <w:color w:val="000000"/>
                <w:sz w:val="20"/>
                <w:szCs w:val="20"/>
              </w:rPr>
              <w:t>Non-funded Risk Exposure</w:t>
            </w:r>
          </w:p>
        </w:tc>
        <w:tc>
          <w:tcPr>
            <w:tcW w:w="1495" w:type="dxa"/>
            <w:tcBorders>
              <w:top w:val="nil"/>
              <w:left w:val="nil"/>
              <w:bottom w:val="single" w:sz="4" w:space="0" w:color="auto"/>
              <w:right w:val="single" w:sz="8" w:space="0" w:color="auto"/>
            </w:tcBorders>
            <w:vAlign w:val="center"/>
            <w:hideMark/>
          </w:tcPr>
          <w:p w14:paraId="6E75DB39" w14:textId="77777777" w:rsidR="00131C99" w:rsidRPr="00DE68A1" w:rsidRDefault="00131C99" w:rsidP="00131C99">
            <w:pPr>
              <w:bidi w:val="0"/>
              <w:jc w:val="center"/>
              <w:rPr>
                <w:rFonts w:asciiTheme="minorHAnsi" w:hAnsiTheme="minorHAnsi" w:cstheme="minorHAnsi"/>
                <w:b/>
                <w:bCs/>
                <w:color w:val="000000"/>
                <w:sz w:val="20"/>
                <w:szCs w:val="20"/>
              </w:rPr>
            </w:pPr>
            <w:r w:rsidRPr="00DE68A1">
              <w:rPr>
                <w:rFonts w:asciiTheme="minorHAnsi" w:hAnsiTheme="minorHAnsi" w:cstheme="minorHAnsi"/>
                <w:b/>
                <w:bCs/>
                <w:color w:val="000000"/>
                <w:sz w:val="20"/>
                <w:szCs w:val="20"/>
              </w:rPr>
              <w:t>Total Credit Risk Exposure</w:t>
            </w:r>
          </w:p>
        </w:tc>
      </w:tr>
      <w:tr w:rsidR="00FE561F" w:rsidRPr="00DE68A1" w14:paraId="488A167D" w14:textId="77777777" w:rsidTr="005F04A5">
        <w:trPr>
          <w:trHeight w:val="278"/>
        </w:trPr>
        <w:tc>
          <w:tcPr>
            <w:tcW w:w="556" w:type="dxa"/>
            <w:tcBorders>
              <w:top w:val="nil"/>
              <w:left w:val="single" w:sz="8" w:space="0" w:color="auto"/>
              <w:bottom w:val="single" w:sz="4" w:space="0" w:color="auto"/>
              <w:right w:val="single" w:sz="4" w:space="0" w:color="auto"/>
            </w:tcBorders>
            <w:vAlign w:val="center"/>
          </w:tcPr>
          <w:p w14:paraId="3E125134" w14:textId="0D689357" w:rsidR="00FE561F" w:rsidRPr="00DE68A1" w:rsidRDefault="00FE561F" w:rsidP="00FE561F">
            <w:pPr>
              <w:bidi w:val="0"/>
              <w:jc w:val="center"/>
              <w:rPr>
                <w:rFonts w:asciiTheme="minorHAnsi" w:hAnsiTheme="minorHAnsi" w:cstheme="minorHAnsi"/>
                <w:color w:val="000000"/>
                <w:sz w:val="20"/>
                <w:szCs w:val="20"/>
              </w:rPr>
            </w:pPr>
            <w:r w:rsidRPr="00DE68A1">
              <w:rPr>
                <w:rFonts w:asciiTheme="minorHAnsi" w:hAnsiTheme="minorHAnsi" w:cstheme="minorHAnsi"/>
                <w:color w:val="000000"/>
                <w:sz w:val="20"/>
                <w:szCs w:val="20"/>
              </w:rPr>
              <w:t>1</w:t>
            </w:r>
          </w:p>
        </w:tc>
        <w:tc>
          <w:tcPr>
            <w:tcW w:w="3397" w:type="dxa"/>
            <w:tcBorders>
              <w:top w:val="nil"/>
              <w:left w:val="single" w:sz="8" w:space="0" w:color="auto"/>
              <w:bottom w:val="single" w:sz="4" w:space="0" w:color="auto"/>
              <w:right w:val="single" w:sz="4" w:space="0" w:color="auto"/>
            </w:tcBorders>
            <w:noWrap/>
            <w:vAlign w:val="bottom"/>
            <w:hideMark/>
          </w:tcPr>
          <w:p w14:paraId="468033C6" w14:textId="6EFEBFD5" w:rsidR="00FE561F" w:rsidRPr="00DE68A1" w:rsidRDefault="00FE561F" w:rsidP="00FE561F">
            <w:pPr>
              <w:bidi w:val="0"/>
              <w:rPr>
                <w:rFonts w:asciiTheme="minorHAnsi" w:hAnsiTheme="minorHAnsi" w:cstheme="minorHAnsi"/>
                <w:color w:val="000000"/>
                <w:sz w:val="20"/>
                <w:szCs w:val="20"/>
              </w:rPr>
            </w:pPr>
            <w:r w:rsidRPr="00DE68A1">
              <w:rPr>
                <w:rFonts w:asciiTheme="minorHAnsi" w:hAnsiTheme="minorHAnsi" w:cstheme="minorHAnsi"/>
                <w:color w:val="000000"/>
                <w:sz w:val="20"/>
                <w:szCs w:val="20"/>
              </w:rPr>
              <w:t>Cash Items</w:t>
            </w:r>
          </w:p>
        </w:tc>
        <w:tc>
          <w:tcPr>
            <w:tcW w:w="1630" w:type="dxa"/>
            <w:tcBorders>
              <w:top w:val="single" w:sz="4" w:space="0" w:color="auto"/>
              <w:left w:val="single" w:sz="4" w:space="0" w:color="auto"/>
              <w:bottom w:val="single" w:sz="4" w:space="0" w:color="auto"/>
              <w:right w:val="single" w:sz="4" w:space="0" w:color="auto"/>
            </w:tcBorders>
            <w:noWrap/>
            <w:vAlign w:val="bottom"/>
          </w:tcPr>
          <w:p w14:paraId="3F4F0DE5" w14:textId="74AE1E7D"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403</w:t>
            </w:r>
          </w:p>
        </w:tc>
        <w:tc>
          <w:tcPr>
            <w:tcW w:w="1901" w:type="dxa"/>
            <w:tcBorders>
              <w:top w:val="single" w:sz="4" w:space="0" w:color="auto"/>
              <w:left w:val="nil"/>
              <w:bottom w:val="single" w:sz="4" w:space="0" w:color="auto"/>
              <w:right w:val="single" w:sz="4" w:space="0" w:color="auto"/>
            </w:tcBorders>
            <w:noWrap/>
            <w:vAlign w:val="bottom"/>
          </w:tcPr>
          <w:p w14:paraId="56D4D14C" w14:textId="56D4A0A3"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c>
          <w:tcPr>
            <w:tcW w:w="1495" w:type="dxa"/>
            <w:tcBorders>
              <w:top w:val="single" w:sz="4" w:space="0" w:color="auto"/>
              <w:left w:val="nil"/>
              <w:bottom w:val="single" w:sz="4" w:space="0" w:color="auto"/>
              <w:right w:val="single" w:sz="8" w:space="0" w:color="auto"/>
            </w:tcBorders>
            <w:noWrap/>
            <w:vAlign w:val="bottom"/>
          </w:tcPr>
          <w:p w14:paraId="3D6E38E9" w14:textId="3623778A"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403</w:t>
            </w:r>
          </w:p>
        </w:tc>
      </w:tr>
      <w:tr w:rsidR="00FE561F" w:rsidRPr="00DE68A1" w14:paraId="18BFC50D" w14:textId="77777777" w:rsidTr="005F04A5">
        <w:trPr>
          <w:trHeight w:val="278"/>
        </w:trPr>
        <w:tc>
          <w:tcPr>
            <w:tcW w:w="556" w:type="dxa"/>
            <w:tcBorders>
              <w:top w:val="nil"/>
              <w:left w:val="single" w:sz="8" w:space="0" w:color="auto"/>
              <w:bottom w:val="single" w:sz="4" w:space="0" w:color="auto"/>
              <w:right w:val="single" w:sz="4" w:space="0" w:color="auto"/>
            </w:tcBorders>
            <w:vAlign w:val="center"/>
          </w:tcPr>
          <w:p w14:paraId="34097AC7" w14:textId="7FE9231B" w:rsidR="00FE561F" w:rsidRPr="00DE68A1" w:rsidRDefault="00FE561F" w:rsidP="00FE561F">
            <w:pPr>
              <w:bidi w:val="0"/>
              <w:jc w:val="center"/>
              <w:rPr>
                <w:rFonts w:asciiTheme="minorHAnsi" w:hAnsiTheme="minorHAnsi" w:cstheme="minorHAnsi"/>
                <w:color w:val="000000"/>
                <w:sz w:val="20"/>
                <w:szCs w:val="20"/>
              </w:rPr>
            </w:pPr>
            <w:r w:rsidRPr="00DE68A1">
              <w:rPr>
                <w:rFonts w:asciiTheme="minorHAnsi" w:hAnsiTheme="minorHAnsi" w:cstheme="minorHAnsi"/>
                <w:color w:val="000000"/>
                <w:sz w:val="20"/>
                <w:szCs w:val="20"/>
              </w:rPr>
              <w:t>2</w:t>
            </w:r>
          </w:p>
        </w:tc>
        <w:tc>
          <w:tcPr>
            <w:tcW w:w="3397" w:type="dxa"/>
            <w:tcBorders>
              <w:top w:val="nil"/>
              <w:left w:val="single" w:sz="8" w:space="0" w:color="auto"/>
              <w:bottom w:val="single" w:sz="4" w:space="0" w:color="auto"/>
              <w:right w:val="single" w:sz="4" w:space="0" w:color="auto"/>
            </w:tcBorders>
            <w:noWrap/>
            <w:vAlign w:val="bottom"/>
            <w:hideMark/>
          </w:tcPr>
          <w:p w14:paraId="748D9D10" w14:textId="5FC2176C" w:rsidR="00FE561F" w:rsidRPr="00DE68A1" w:rsidRDefault="00FE561F" w:rsidP="00FE561F">
            <w:pPr>
              <w:bidi w:val="0"/>
              <w:rPr>
                <w:rFonts w:asciiTheme="minorHAnsi" w:hAnsiTheme="minorHAnsi" w:cstheme="minorHAnsi"/>
                <w:color w:val="000000"/>
                <w:sz w:val="20"/>
                <w:szCs w:val="20"/>
              </w:rPr>
            </w:pPr>
            <w:r w:rsidRPr="00DE68A1">
              <w:rPr>
                <w:rFonts w:asciiTheme="minorHAnsi" w:hAnsiTheme="minorHAnsi" w:cstheme="minorHAnsi"/>
                <w:color w:val="000000"/>
                <w:sz w:val="20"/>
                <w:szCs w:val="20"/>
              </w:rPr>
              <w:t>Claims on Sovereigns</w:t>
            </w:r>
          </w:p>
        </w:tc>
        <w:tc>
          <w:tcPr>
            <w:tcW w:w="1630" w:type="dxa"/>
            <w:tcBorders>
              <w:top w:val="nil"/>
              <w:left w:val="single" w:sz="4" w:space="0" w:color="auto"/>
              <w:bottom w:val="single" w:sz="4" w:space="0" w:color="auto"/>
              <w:right w:val="single" w:sz="4" w:space="0" w:color="auto"/>
            </w:tcBorders>
            <w:noWrap/>
            <w:vAlign w:val="bottom"/>
            <w:hideMark/>
          </w:tcPr>
          <w:p w14:paraId="77CF5EFA" w14:textId="09A9878F"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77</w:t>
            </w:r>
            <w:r w:rsidR="00EE7D95">
              <w:rPr>
                <w:rFonts w:ascii="Calibri" w:hAnsi="Calibri" w:cs="Calibri"/>
                <w:color w:val="000000"/>
                <w:sz w:val="22"/>
                <w:szCs w:val="22"/>
              </w:rPr>
              <w:t>,</w:t>
            </w:r>
            <w:r w:rsidRPr="00DE68A1">
              <w:rPr>
                <w:rFonts w:ascii="Calibri" w:hAnsi="Calibri" w:cs="Calibri"/>
                <w:color w:val="000000"/>
                <w:sz w:val="22"/>
                <w:szCs w:val="22"/>
              </w:rPr>
              <w:t>624</w:t>
            </w:r>
          </w:p>
        </w:tc>
        <w:tc>
          <w:tcPr>
            <w:tcW w:w="1901" w:type="dxa"/>
            <w:tcBorders>
              <w:top w:val="nil"/>
              <w:left w:val="nil"/>
              <w:bottom w:val="single" w:sz="4" w:space="0" w:color="auto"/>
              <w:right w:val="single" w:sz="4" w:space="0" w:color="auto"/>
            </w:tcBorders>
            <w:noWrap/>
            <w:vAlign w:val="bottom"/>
            <w:hideMark/>
          </w:tcPr>
          <w:p w14:paraId="697B99E0" w14:textId="68AACCCF"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c>
          <w:tcPr>
            <w:tcW w:w="1495" w:type="dxa"/>
            <w:tcBorders>
              <w:top w:val="nil"/>
              <w:left w:val="nil"/>
              <w:bottom w:val="single" w:sz="4" w:space="0" w:color="auto"/>
              <w:right w:val="single" w:sz="8" w:space="0" w:color="auto"/>
            </w:tcBorders>
            <w:noWrap/>
            <w:vAlign w:val="bottom"/>
            <w:hideMark/>
          </w:tcPr>
          <w:p w14:paraId="45CB065C" w14:textId="47C22455"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77</w:t>
            </w:r>
            <w:r w:rsidR="00EE7D95">
              <w:rPr>
                <w:rFonts w:ascii="Calibri" w:hAnsi="Calibri" w:cs="Calibri"/>
                <w:color w:val="000000"/>
                <w:sz w:val="22"/>
                <w:szCs w:val="22"/>
              </w:rPr>
              <w:t>,</w:t>
            </w:r>
            <w:r w:rsidRPr="00DE68A1">
              <w:rPr>
                <w:rFonts w:ascii="Calibri" w:hAnsi="Calibri" w:cs="Calibri"/>
                <w:color w:val="000000"/>
                <w:sz w:val="22"/>
                <w:szCs w:val="22"/>
              </w:rPr>
              <w:t>624</w:t>
            </w:r>
          </w:p>
        </w:tc>
      </w:tr>
      <w:tr w:rsidR="00FE561F" w:rsidRPr="00DE68A1" w14:paraId="4A0B4A48" w14:textId="77777777" w:rsidTr="005F04A5">
        <w:trPr>
          <w:trHeight w:val="278"/>
        </w:trPr>
        <w:tc>
          <w:tcPr>
            <w:tcW w:w="556" w:type="dxa"/>
            <w:tcBorders>
              <w:top w:val="nil"/>
              <w:left w:val="single" w:sz="8" w:space="0" w:color="auto"/>
              <w:bottom w:val="single" w:sz="4" w:space="0" w:color="auto"/>
              <w:right w:val="single" w:sz="4" w:space="0" w:color="auto"/>
            </w:tcBorders>
            <w:vAlign w:val="center"/>
          </w:tcPr>
          <w:p w14:paraId="2E9A7BAA" w14:textId="2DF4ACFC" w:rsidR="00FE561F" w:rsidRPr="00DE68A1" w:rsidRDefault="00FE561F" w:rsidP="00FE561F">
            <w:pPr>
              <w:bidi w:val="0"/>
              <w:jc w:val="center"/>
              <w:rPr>
                <w:rFonts w:asciiTheme="minorHAnsi" w:hAnsiTheme="minorHAnsi" w:cstheme="minorHAnsi"/>
                <w:color w:val="000000"/>
                <w:sz w:val="20"/>
                <w:szCs w:val="20"/>
              </w:rPr>
            </w:pPr>
            <w:r w:rsidRPr="00DE68A1">
              <w:rPr>
                <w:rFonts w:asciiTheme="minorHAnsi" w:hAnsiTheme="minorHAnsi" w:cstheme="minorHAnsi"/>
                <w:color w:val="000000"/>
                <w:sz w:val="20"/>
                <w:szCs w:val="20"/>
              </w:rPr>
              <w:t>3</w:t>
            </w:r>
          </w:p>
        </w:tc>
        <w:tc>
          <w:tcPr>
            <w:tcW w:w="3397" w:type="dxa"/>
            <w:tcBorders>
              <w:top w:val="nil"/>
              <w:left w:val="single" w:sz="8" w:space="0" w:color="auto"/>
              <w:bottom w:val="single" w:sz="4" w:space="0" w:color="auto"/>
              <w:right w:val="single" w:sz="4" w:space="0" w:color="auto"/>
            </w:tcBorders>
            <w:noWrap/>
            <w:vAlign w:val="bottom"/>
            <w:hideMark/>
          </w:tcPr>
          <w:p w14:paraId="0FF73E18" w14:textId="6AB7F763" w:rsidR="00FE561F" w:rsidRPr="00DE68A1" w:rsidRDefault="00FE561F" w:rsidP="00FE561F">
            <w:pPr>
              <w:bidi w:val="0"/>
              <w:rPr>
                <w:rFonts w:asciiTheme="minorHAnsi" w:hAnsiTheme="minorHAnsi" w:cstheme="minorHAnsi"/>
                <w:color w:val="000000"/>
                <w:sz w:val="20"/>
                <w:szCs w:val="20"/>
              </w:rPr>
            </w:pPr>
            <w:r w:rsidRPr="00DE68A1">
              <w:rPr>
                <w:rFonts w:asciiTheme="minorHAnsi" w:hAnsiTheme="minorHAnsi" w:cstheme="minorHAnsi"/>
                <w:color w:val="000000"/>
                <w:sz w:val="20"/>
                <w:szCs w:val="20"/>
              </w:rPr>
              <w:t>Claims on International organizations</w:t>
            </w:r>
          </w:p>
        </w:tc>
        <w:tc>
          <w:tcPr>
            <w:tcW w:w="1630" w:type="dxa"/>
            <w:tcBorders>
              <w:top w:val="nil"/>
              <w:left w:val="single" w:sz="4" w:space="0" w:color="auto"/>
              <w:bottom w:val="single" w:sz="4" w:space="0" w:color="auto"/>
              <w:right w:val="single" w:sz="4" w:space="0" w:color="auto"/>
            </w:tcBorders>
            <w:noWrap/>
            <w:vAlign w:val="bottom"/>
            <w:hideMark/>
          </w:tcPr>
          <w:p w14:paraId="1B15E54E" w14:textId="14D5A288"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c>
          <w:tcPr>
            <w:tcW w:w="1901" w:type="dxa"/>
            <w:tcBorders>
              <w:top w:val="nil"/>
              <w:left w:val="nil"/>
              <w:bottom w:val="single" w:sz="4" w:space="0" w:color="auto"/>
              <w:right w:val="single" w:sz="4" w:space="0" w:color="auto"/>
            </w:tcBorders>
            <w:noWrap/>
            <w:vAlign w:val="bottom"/>
            <w:hideMark/>
          </w:tcPr>
          <w:p w14:paraId="320A98DC" w14:textId="17789C56"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c>
          <w:tcPr>
            <w:tcW w:w="1495" w:type="dxa"/>
            <w:tcBorders>
              <w:top w:val="nil"/>
              <w:left w:val="nil"/>
              <w:bottom w:val="single" w:sz="4" w:space="0" w:color="auto"/>
              <w:right w:val="single" w:sz="8" w:space="0" w:color="auto"/>
            </w:tcBorders>
            <w:noWrap/>
            <w:vAlign w:val="bottom"/>
            <w:hideMark/>
          </w:tcPr>
          <w:p w14:paraId="5B96FA40" w14:textId="522A8224"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r>
      <w:tr w:rsidR="00FE561F" w:rsidRPr="00DE68A1" w14:paraId="46090C51" w14:textId="77777777" w:rsidTr="005F04A5">
        <w:trPr>
          <w:trHeight w:val="278"/>
        </w:trPr>
        <w:tc>
          <w:tcPr>
            <w:tcW w:w="556" w:type="dxa"/>
            <w:tcBorders>
              <w:top w:val="nil"/>
              <w:left w:val="single" w:sz="8" w:space="0" w:color="auto"/>
              <w:bottom w:val="single" w:sz="4" w:space="0" w:color="auto"/>
              <w:right w:val="single" w:sz="4" w:space="0" w:color="auto"/>
            </w:tcBorders>
            <w:vAlign w:val="center"/>
          </w:tcPr>
          <w:p w14:paraId="0F819005" w14:textId="1E9D01DC" w:rsidR="00FE561F" w:rsidRPr="00DE68A1" w:rsidRDefault="00FE561F" w:rsidP="00FE561F">
            <w:pPr>
              <w:bidi w:val="0"/>
              <w:jc w:val="center"/>
              <w:rPr>
                <w:rFonts w:asciiTheme="minorHAnsi" w:hAnsiTheme="minorHAnsi" w:cstheme="minorHAnsi"/>
                <w:color w:val="000000"/>
                <w:sz w:val="20"/>
                <w:szCs w:val="20"/>
              </w:rPr>
            </w:pPr>
            <w:r w:rsidRPr="00DE68A1">
              <w:rPr>
                <w:rFonts w:asciiTheme="minorHAnsi" w:hAnsiTheme="minorHAnsi" w:cstheme="minorHAnsi"/>
                <w:color w:val="000000"/>
                <w:sz w:val="20"/>
                <w:szCs w:val="20"/>
              </w:rPr>
              <w:t>4</w:t>
            </w:r>
          </w:p>
        </w:tc>
        <w:tc>
          <w:tcPr>
            <w:tcW w:w="3397" w:type="dxa"/>
            <w:tcBorders>
              <w:top w:val="nil"/>
              <w:left w:val="single" w:sz="8" w:space="0" w:color="auto"/>
              <w:bottom w:val="single" w:sz="4" w:space="0" w:color="auto"/>
              <w:right w:val="single" w:sz="4" w:space="0" w:color="auto"/>
            </w:tcBorders>
            <w:noWrap/>
            <w:vAlign w:val="bottom"/>
            <w:hideMark/>
          </w:tcPr>
          <w:p w14:paraId="2E2D8E9D" w14:textId="7786F568" w:rsidR="00FE561F" w:rsidRPr="00DE68A1" w:rsidRDefault="00FE561F" w:rsidP="00FE561F">
            <w:pPr>
              <w:bidi w:val="0"/>
              <w:rPr>
                <w:rFonts w:asciiTheme="minorHAnsi" w:hAnsiTheme="minorHAnsi" w:cstheme="minorHAnsi"/>
                <w:color w:val="000000"/>
                <w:sz w:val="20"/>
                <w:szCs w:val="20"/>
              </w:rPr>
            </w:pPr>
            <w:r w:rsidRPr="00DE68A1">
              <w:rPr>
                <w:rFonts w:asciiTheme="minorHAnsi" w:hAnsiTheme="minorHAnsi" w:cstheme="minorHAnsi"/>
                <w:color w:val="000000"/>
                <w:sz w:val="20"/>
                <w:szCs w:val="20"/>
              </w:rPr>
              <w:t>Claims on PSEs</w:t>
            </w:r>
          </w:p>
        </w:tc>
        <w:tc>
          <w:tcPr>
            <w:tcW w:w="1630" w:type="dxa"/>
            <w:tcBorders>
              <w:top w:val="nil"/>
              <w:left w:val="single" w:sz="4" w:space="0" w:color="auto"/>
              <w:bottom w:val="single" w:sz="4" w:space="0" w:color="auto"/>
              <w:right w:val="single" w:sz="4" w:space="0" w:color="auto"/>
            </w:tcBorders>
            <w:noWrap/>
            <w:vAlign w:val="bottom"/>
            <w:hideMark/>
          </w:tcPr>
          <w:p w14:paraId="24C4EA70" w14:textId="62C8EC55"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c>
          <w:tcPr>
            <w:tcW w:w="1901" w:type="dxa"/>
            <w:tcBorders>
              <w:top w:val="nil"/>
              <w:left w:val="nil"/>
              <w:bottom w:val="single" w:sz="4" w:space="0" w:color="auto"/>
              <w:right w:val="single" w:sz="4" w:space="0" w:color="auto"/>
            </w:tcBorders>
            <w:noWrap/>
            <w:vAlign w:val="bottom"/>
            <w:hideMark/>
          </w:tcPr>
          <w:p w14:paraId="31629684" w14:textId="09124199"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c>
          <w:tcPr>
            <w:tcW w:w="1495" w:type="dxa"/>
            <w:tcBorders>
              <w:top w:val="nil"/>
              <w:left w:val="nil"/>
              <w:bottom w:val="single" w:sz="4" w:space="0" w:color="auto"/>
              <w:right w:val="single" w:sz="8" w:space="0" w:color="auto"/>
            </w:tcBorders>
            <w:noWrap/>
            <w:vAlign w:val="bottom"/>
            <w:hideMark/>
          </w:tcPr>
          <w:p w14:paraId="2E3518E6" w14:textId="43CF7ADE"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r>
      <w:tr w:rsidR="00FE561F" w:rsidRPr="00DE68A1" w14:paraId="65DA04DC" w14:textId="77777777" w:rsidTr="005F04A5">
        <w:trPr>
          <w:trHeight w:val="278"/>
        </w:trPr>
        <w:tc>
          <w:tcPr>
            <w:tcW w:w="556" w:type="dxa"/>
            <w:tcBorders>
              <w:top w:val="nil"/>
              <w:left w:val="single" w:sz="8" w:space="0" w:color="auto"/>
              <w:bottom w:val="single" w:sz="4" w:space="0" w:color="auto"/>
              <w:right w:val="single" w:sz="4" w:space="0" w:color="auto"/>
            </w:tcBorders>
            <w:vAlign w:val="center"/>
          </w:tcPr>
          <w:p w14:paraId="31816CA5" w14:textId="085D2540" w:rsidR="00FE561F" w:rsidRPr="00DE68A1" w:rsidRDefault="00FE561F" w:rsidP="00FE561F">
            <w:pPr>
              <w:bidi w:val="0"/>
              <w:jc w:val="center"/>
              <w:rPr>
                <w:rFonts w:asciiTheme="minorHAnsi" w:hAnsiTheme="minorHAnsi" w:cstheme="minorHAnsi"/>
                <w:color w:val="000000"/>
                <w:sz w:val="20"/>
                <w:szCs w:val="20"/>
              </w:rPr>
            </w:pPr>
            <w:r w:rsidRPr="00DE68A1">
              <w:rPr>
                <w:rFonts w:asciiTheme="minorHAnsi" w:hAnsiTheme="minorHAnsi" w:cstheme="minorHAnsi"/>
                <w:color w:val="000000"/>
                <w:sz w:val="20"/>
                <w:szCs w:val="20"/>
              </w:rPr>
              <w:t>5</w:t>
            </w:r>
          </w:p>
        </w:tc>
        <w:tc>
          <w:tcPr>
            <w:tcW w:w="3397" w:type="dxa"/>
            <w:tcBorders>
              <w:top w:val="nil"/>
              <w:left w:val="single" w:sz="8" w:space="0" w:color="auto"/>
              <w:bottom w:val="single" w:sz="4" w:space="0" w:color="auto"/>
              <w:right w:val="single" w:sz="4" w:space="0" w:color="auto"/>
            </w:tcBorders>
            <w:noWrap/>
            <w:vAlign w:val="bottom"/>
            <w:hideMark/>
          </w:tcPr>
          <w:p w14:paraId="642A5451" w14:textId="787EBF65" w:rsidR="00FE561F" w:rsidRPr="00DE68A1" w:rsidRDefault="00FE561F" w:rsidP="00FE561F">
            <w:pPr>
              <w:bidi w:val="0"/>
              <w:rPr>
                <w:rFonts w:asciiTheme="minorHAnsi" w:hAnsiTheme="minorHAnsi" w:cstheme="minorHAnsi"/>
                <w:color w:val="000000"/>
                <w:sz w:val="20"/>
                <w:szCs w:val="20"/>
              </w:rPr>
            </w:pPr>
            <w:r w:rsidRPr="00DE68A1">
              <w:rPr>
                <w:rFonts w:asciiTheme="minorHAnsi" w:hAnsiTheme="minorHAnsi" w:cstheme="minorHAnsi"/>
                <w:color w:val="000000"/>
                <w:sz w:val="20"/>
                <w:szCs w:val="20"/>
              </w:rPr>
              <w:t>Claims on MDBs</w:t>
            </w:r>
          </w:p>
        </w:tc>
        <w:tc>
          <w:tcPr>
            <w:tcW w:w="1630" w:type="dxa"/>
            <w:tcBorders>
              <w:top w:val="nil"/>
              <w:left w:val="single" w:sz="4" w:space="0" w:color="auto"/>
              <w:bottom w:val="single" w:sz="4" w:space="0" w:color="auto"/>
              <w:right w:val="single" w:sz="4" w:space="0" w:color="auto"/>
            </w:tcBorders>
            <w:noWrap/>
            <w:vAlign w:val="bottom"/>
            <w:hideMark/>
          </w:tcPr>
          <w:p w14:paraId="46F19FE9" w14:textId="511F6A2B"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c>
          <w:tcPr>
            <w:tcW w:w="1901" w:type="dxa"/>
            <w:tcBorders>
              <w:top w:val="nil"/>
              <w:left w:val="nil"/>
              <w:bottom w:val="single" w:sz="4" w:space="0" w:color="auto"/>
              <w:right w:val="single" w:sz="4" w:space="0" w:color="auto"/>
            </w:tcBorders>
            <w:noWrap/>
            <w:vAlign w:val="bottom"/>
            <w:hideMark/>
          </w:tcPr>
          <w:p w14:paraId="3E908A7B" w14:textId="1C6B4075"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c>
          <w:tcPr>
            <w:tcW w:w="1495" w:type="dxa"/>
            <w:tcBorders>
              <w:top w:val="nil"/>
              <w:left w:val="nil"/>
              <w:bottom w:val="single" w:sz="4" w:space="0" w:color="auto"/>
              <w:right w:val="single" w:sz="8" w:space="0" w:color="auto"/>
            </w:tcBorders>
            <w:noWrap/>
            <w:vAlign w:val="bottom"/>
            <w:hideMark/>
          </w:tcPr>
          <w:p w14:paraId="4A1D6C8C" w14:textId="09A95DAF"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r>
      <w:tr w:rsidR="00FE561F" w:rsidRPr="00DE68A1" w14:paraId="5853FD64" w14:textId="77777777" w:rsidTr="005F04A5">
        <w:trPr>
          <w:trHeight w:val="278"/>
        </w:trPr>
        <w:tc>
          <w:tcPr>
            <w:tcW w:w="556" w:type="dxa"/>
            <w:tcBorders>
              <w:top w:val="nil"/>
              <w:left w:val="single" w:sz="8" w:space="0" w:color="auto"/>
              <w:bottom w:val="single" w:sz="4" w:space="0" w:color="auto"/>
              <w:right w:val="single" w:sz="4" w:space="0" w:color="auto"/>
            </w:tcBorders>
            <w:vAlign w:val="center"/>
          </w:tcPr>
          <w:p w14:paraId="08901944" w14:textId="786AB0EF" w:rsidR="00FE561F" w:rsidRPr="00DE68A1" w:rsidRDefault="00FE561F" w:rsidP="00FE561F">
            <w:pPr>
              <w:bidi w:val="0"/>
              <w:jc w:val="center"/>
              <w:rPr>
                <w:rFonts w:asciiTheme="minorHAnsi" w:hAnsiTheme="minorHAnsi" w:cstheme="minorHAnsi"/>
                <w:color w:val="000000"/>
                <w:sz w:val="20"/>
                <w:szCs w:val="20"/>
              </w:rPr>
            </w:pPr>
            <w:r w:rsidRPr="00DE68A1">
              <w:rPr>
                <w:rFonts w:asciiTheme="minorHAnsi" w:hAnsiTheme="minorHAnsi" w:cstheme="minorHAnsi"/>
                <w:color w:val="000000"/>
                <w:sz w:val="20"/>
                <w:szCs w:val="20"/>
              </w:rPr>
              <w:t>6</w:t>
            </w:r>
          </w:p>
        </w:tc>
        <w:tc>
          <w:tcPr>
            <w:tcW w:w="3397" w:type="dxa"/>
            <w:tcBorders>
              <w:top w:val="nil"/>
              <w:left w:val="single" w:sz="8" w:space="0" w:color="auto"/>
              <w:bottom w:val="single" w:sz="4" w:space="0" w:color="auto"/>
              <w:right w:val="single" w:sz="4" w:space="0" w:color="auto"/>
            </w:tcBorders>
            <w:noWrap/>
            <w:vAlign w:val="bottom"/>
            <w:hideMark/>
          </w:tcPr>
          <w:p w14:paraId="77F94921" w14:textId="4D31BF98" w:rsidR="00FE561F" w:rsidRPr="00DE68A1" w:rsidRDefault="00FE561F" w:rsidP="00FE561F">
            <w:pPr>
              <w:bidi w:val="0"/>
              <w:rPr>
                <w:rFonts w:asciiTheme="minorHAnsi" w:hAnsiTheme="minorHAnsi" w:cstheme="minorHAnsi"/>
                <w:color w:val="000000"/>
                <w:sz w:val="20"/>
                <w:szCs w:val="20"/>
              </w:rPr>
            </w:pPr>
            <w:r w:rsidRPr="00DE68A1">
              <w:rPr>
                <w:rFonts w:asciiTheme="minorHAnsi" w:hAnsiTheme="minorHAnsi" w:cstheme="minorHAnsi"/>
                <w:color w:val="000000"/>
                <w:sz w:val="20"/>
                <w:szCs w:val="20"/>
              </w:rPr>
              <w:t>Claims on Banks</w:t>
            </w:r>
          </w:p>
        </w:tc>
        <w:tc>
          <w:tcPr>
            <w:tcW w:w="1630" w:type="dxa"/>
            <w:tcBorders>
              <w:top w:val="nil"/>
              <w:left w:val="single" w:sz="4" w:space="0" w:color="auto"/>
              <w:bottom w:val="single" w:sz="4" w:space="0" w:color="auto"/>
              <w:right w:val="single" w:sz="4" w:space="0" w:color="auto"/>
            </w:tcBorders>
            <w:noWrap/>
            <w:vAlign w:val="bottom"/>
          </w:tcPr>
          <w:p w14:paraId="317775B1" w14:textId="30175906"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307</w:t>
            </w:r>
            <w:r w:rsidR="00EE7D95">
              <w:rPr>
                <w:rFonts w:ascii="Calibri" w:hAnsi="Calibri" w:cs="Calibri"/>
                <w:color w:val="000000"/>
                <w:sz w:val="22"/>
                <w:szCs w:val="22"/>
              </w:rPr>
              <w:t>,</w:t>
            </w:r>
            <w:r w:rsidRPr="00DE68A1">
              <w:rPr>
                <w:rFonts w:ascii="Calibri" w:hAnsi="Calibri" w:cs="Calibri"/>
                <w:color w:val="000000"/>
                <w:sz w:val="22"/>
                <w:szCs w:val="22"/>
              </w:rPr>
              <w:t>014</w:t>
            </w:r>
          </w:p>
        </w:tc>
        <w:tc>
          <w:tcPr>
            <w:tcW w:w="1901" w:type="dxa"/>
            <w:tcBorders>
              <w:top w:val="nil"/>
              <w:left w:val="nil"/>
              <w:bottom w:val="single" w:sz="4" w:space="0" w:color="auto"/>
              <w:right w:val="single" w:sz="4" w:space="0" w:color="auto"/>
            </w:tcBorders>
            <w:noWrap/>
            <w:vAlign w:val="bottom"/>
          </w:tcPr>
          <w:p w14:paraId="4EEAE722" w14:textId="4D362475"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c>
          <w:tcPr>
            <w:tcW w:w="1495" w:type="dxa"/>
            <w:tcBorders>
              <w:top w:val="nil"/>
              <w:left w:val="nil"/>
              <w:bottom w:val="single" w:sz="4" w:space="0" w:color="auto"/>
              <w:right w:val="single" w:sz="8" w:space="0" w:color="auto"/>
            </w:tcBorders>
            <w:noWrap/>
            <w:vAlign w:val="bottom"/>
          </w:tcPr>
          <w:p w14:paraId="24B1E968" w14:textId="45526BE8"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307</w:t>
            </w:r>
            <w:r w:rsidR="00EE7D95">
              <w:rPr>
                <w:rFonts w:ascii="Calibri" w:hAnsi="Calibri" w:cs="Calibri"/>
                <w:color w:val="000000"/>
                <w:sz w:val="22"/>
                <w:szCs w:val="22"/>
              </w:rPr>
              <w:t>,</w:t>
            </w:r>
            <w:r w:rsidRPr="00DE68A1">
              <w:rPr>
                <w:rFonts w:ascii="Calibri" w:hAnsi="Calibri" w:cs="Calibri"/>
                <w:color w:val="000000"/>
                <w:sz w:val="22"/>
                <w:szCs w:val="22"/>
              </w:rPr>
              <w:t>014</w:t>
            </w:r>
          </w:p>
        </w:tc>
      </w:tr>
      <w:tr w:rsidR="00FE561F" w:rsidRPr="00DE68A1" w14:paraId="1994CB36" w14:textId="77777777" w:rsidTr="005F04A5">
        <w:trPr>
          <w:trHeight w:val="278"/>
        </w:trPr>
        <w:tc>
          <w:tcPr>
            <w:tcW w:w="556" w:type="dxa"/>
            <w:tcBorders>
              <w:top w:val="nil"/>
              <w:left w:val="single" w:sz="8" w:space="0" w:color="auto"/>
              <w:bottom w:val="single" w:sz="4" w:space="0" w:color="auto"/>
              <w:right w:val="single" w:sz="4" w:space="0" w:color="auto"/>
            </w:tcBorders>
            <w:vAlign w:val="center"/>
          </w:tcPr>
          <w:p w14:paraId="1BEEDEB6" w14:textId="3012B2DE" w:rsidR="00FE561F" w:rsidRPr="00DE68A1" w:rsidRDefault="00FE561F" w:rsidP="00FE561F">
            <w:pPr>
              <w:bidi w:val="0"/>
              <w:jc w:val="center"/>
              <w:rPr>
                <w:rFonts w:asciiTheme="minorHAnsi" w:hAnsiTheme="minorHAnsi" w:cstheme="minorHAnsi"/>
                <w:color w:val="000000"/>
                <w:sz w:val="20"/>
                <w:szCs w:val="20"/>
              </w:rPr>
            </w:pPr>
            <w:r w:rsidRPr="00DE68A1">
              <w:rPr>
                <w:rFonts w:asciiTheme="minorHAnsi" w:hAnsiTheme="minorHAnsi" w:cstheme="minorHAnsi"/>
                <w:color w:val="000000"/>
                <w:sz w:val="20"/>
                <w:szCs w:val="20"/>
              </w:rPr>
              <w:t>7</w:t>
            </w:r>
          </w:p>
        </w:tc>
        <w:tc>
          <w:tcPr>
            <w:tcW w:w="3397" w:type="dxa"/>
            <w:tcBorders>
              <w:top w:val="nil"/>
              <w:left w:val="single" w:sz="8" w:space="0" w:color="auto"/>
              <w:bottom w:val="single" w:sz="4" w:space="0" w:color="auto"/>
              <w:right w:val="single" w:sz="4" w:space="0" w:color="auto"/>
            </w:tcBorders>
            <w:noWrap/>
            <w:vAlign w:val="bottom"/>
            <w:hideMark/>
          </w:tcPr>
          <w:p w14:paraId="292CD187" w14:textId="1B260086" w:rsidR="00FE561F" w:rsidRPr="00DE68A1" w:rsidRDefault="00FE561F" w:rsidP="00FE561F">
            <w:pPr>
              <w:bidi w:val="0"/>
              <w:rPr>
                <w:rFonts w:asciiTheme="minorHAnsi" w:hAnsiTheme="minorHAnsi" w:cstheme="minorHAnsi"/>
                <w:color w:val="000000"/>
                <w:sz w:val="20"/>
                <w:szCs w:val="20"/>
              </w:rPr>
            </w:pPr>
            <w:r w:rsidRPr="00DE68A1">
              <w:rPr>
                <w:rFonts w:asciiTheme="minorHAnsi" w:hAnsiTheme="minorHAnsi" w:cstheme="minorHAnsi"/>
                <w:color w:val="000000"/>
                <w:sz w:val="20"/>
                <w:szCs w:val="20"/>
              </w:rPr>
              <w:t>Claims on Corporates</w:t>
            </w:r>
          </w:p>
        </w:tc>
        <w:tc>
          <w:tcPr>
            <w:tcW w:w="1630" w:type="dxa"/>
            <w:tcBorders>
              <w:top w:val="nil"/>
              <w:left w:val="single" w:sz="4" w:space="0" w:color="auto"/>
              <w:bottom w:val="single" w:sz="4" w:space="0" w:color="auto"/>
              <w:right w:val="single" w:sz="4" w:space="0" w:color="auto"/>
            </w:tcBorders>
            <w:noWrap/>
            <w:vAlign w:val="bottom"/>
          </w:tcPr>
          <w:p w14:paraId="376EE69C" w14:textId="790E2E69"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317</w:t>
            </w:r>
            <w:r w:rsidR="00EE7D95">
              <w:rPr>
                <w:rFonts w:ascii="Calibri" w:hAnsi="Calibri" w:cs="Calibri"/>
                <w:color w:val="000000"/>
                <w:sz w:val="22"/>
                <w:szCs w:val="22"/>
              </w:rPr>
              <w:t>,</w:t>
            </w:r>
            <w:r w:rsidRPr="00DE68A1">
              <w:rPr>
                <w:rFonts w:ascii="Calibri" w:hAnsi="Calibri" w:cs="Calibri"/>
                <w:color w:val="000000"/>
                <w:sz w:val="22"/>
                <w:szCs w:val="22"/>
              </w:rPr>
              <w:t>074</w:t>
            </w:r>
          </w:p>
        </w:tc>
        <w:tc>
          <w:tcPr>
            <w:tcW w:w="1901" w:type="dxa"/>
            <w:tcBorders>
              <w:top w:val="nil"/>
              <w:left w:val="nil"/>
              <w:bottom w:val="single" w:sz="4" w:space="0" w:color="auto"/>
              <w:right w:val="single" w:sz="4" w:space="0" w:color="auto"/>
            </w:tcBorders>
            <w:noWrap/>
            <w:vAlign w:val="bottom"/>
          </w:tcPr>
          <w:p w14:paraId="3491BBD9" w14:textId="26F751E9"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55</w:t>
            </w:r>
            <w:r w:rsidR="00EE7D95">
              <w:rPr>
                <w:rFonts w:ascii="Calibri" w:hAnsi="Calibri" w:cs="Calibri"/>
                <w:color w:val="000000"/>
                <w:sz w:val="22"/>
                <w:szCs w:val="22"/>
              </w:rPr>
              <w:t>,</w:t>
            </w:r>
            <w:r w:rsidRPr="00DE68A1">
              <w:rPr>
                <w:rFonts w:ascii="Calibri" w:hAnsi="Calibri" w:cs="Calibri"/>
                <w:color w:val="000000"/>
                <w:sz w:val="22"/>
                <w:szCs w:val="22"/>
              </w:rPr>
              <w:t>567</w:t>
            </w:r>
          </w:p>
        </w:tc>
        <w:tc>
          <w:tcPr>
            <w:tcW w:w="1495" w:type="dxa"/>
            <w:tcBorders>
              <w:top w:val="nil"/>
              <w:left w:val="nil"/>
              <w:bottom w:val="single" w:sz="4" w:space="0" w:color="auto"/>
              <w:right w:val="single" w:sz="8" w:space="0" w:color="auto"/>
            </w:tcBorders>
            <w:noWrap/>
            <w:vAlign w:val="bottom"/>
          </w:tcPr>
          <w:p w14:paraId="55E0511E" w14:textId="060272B6"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372</w:t>
            </w:r>
            <w:r w:rsidR="00EE7D95">
              <w:rPr>
                <w:rFonts w:ascii="Calibri" w:hAnsi="Calibri" w:cs="Calibri"/>
                <w:color w:val="000000"/>
                <w:sz w:val="22"/>
                <w:szCs w:val="22"/>
              </w:rPr>
              <w:t>,</w:t>
            </w:r>
            <w:r w:rsidRPr="00DE68A1">
              <w:rPr>
                <w:rFonts w:ascii="Calibri" w:hAnsi="Calibri" w:cs="Calibri"/>
                <w:color w:val="000000"/>
                <w:sz w:val="22"/>
                <w:szCs w:val="22"/>
              </w:rPr>
              <w:t>641</w:t>
            </w:r>
          </w:p>
        </w:tc>
      </w:tr>
      <w:tr w:rsidR="00FE561F" w:rsidRPr="00DE68A1" w14:paraId="327C98CD" w14:textId="77777777" w:rsidTr="005F04A5">
        <w:trPr>
          <w:trHeight w:val="278"/>
        </w:trPr>
        <w:tc>
          <w:tcPr>
            <w:tcW w:w="556" w:type="dxa"/>
            <w:tcBorders>
              <w:top w:val="nil"/>
              <w:left w:val="single" w:sz="8" w:space="0" w:color="auto"/>
              <w:bottom w:val="single" w:sz="4" w:space="0" w:color="auto"/>
              <w:right w:val="single" w:sz="4" w:space="0" w:color="auto"/>
            </w:tcBorders>
            <w:vAlign w:val="center"/>
          </w:tcPr>
          <w:p w14:paraId="54B7BD5E" w14:textId="5864B3CE" w:rsidR="00FE561F" w:rsidRPr="00DE68A1" w:rsidRDefault="00FE561F" w:rsidP="00FE561F">
            <w:pPr>
              <w:bidi w:val="0"/>
              <w:jc w:val="center"/>
              <w:rPr>
                <w:rFonts w:asciiTheme="minorHAnsi" w:hAnsiTheme="minorHAnsi" w:cstheme="minorHAnsi"/>
                <w:color w:val="000000"/>
                <w:sz w:val="20"/>
                <w:szCs w:val="20"/>
              </w:rPr>
            </w:pPr>
            <w:r w:rsidRPr="00DE68A1">
              <w:rPr>
                <w:rFonts w:asciiTheme="minorHAnsi" w:hAnsiTheme="minorHAnsi" w:cstheme="minorHAnsi"/>
                <w:color w:val="000000"/>
                <w:sz w:val="20"/>
                <w:szCs w:val="20"/>
              </w:rPr>
              <w:t>8</w:t>
            </w:r>
          </w:p>
        </w:tc>
        <w:tc>
          <w:tcPr>
            <w:tcW w:w="3397" w:type="dxa"/>
            <w:tcBorders>
              <w:top w:val="nil"/>
              <w:left w:val="single" w:sz="8" w:space="0" w:color="auto"/>
              <w:bottom w:val="single" w:sz="4" w:space="0" w:color="auto"/>
              <w:right w:val="single" w:sz="4" w:space="0" w:color="auto"/>
            </w:tcBorders>
            <w:noWrap/>
            <w:vAlign w:val="bottom"/>
            <w:hideMark/>
          </w:tcPr>
          <w:p w14:paraId="7C448BE3" w14:textId="35E2B147" w:rsidR="00FE561F" w:rsidRPr="00DE68A1" w:rsidRDefault="00FE561F" w:rsidP="00FE561F">
            <w:pPr>
              <w:bidi w:val="0"/>
              <w:rPr>
                <w:rFonts w:asciiTheme="minorHAnsi" w:hAnsiTheme="minorHAnsi" w:cstheme="minorHAnsi"/>
                <w:color w:val="000000"/>
                <w:sz w:val="20"/>
                <w:szCs w:val="20"/>
              </w:rPr>
            </w:pPr>
            <w:r w:rsidRPr="00DE68A1">
              <w:rPr>
                <w:rFonts w:asciiTheme="minorHAnsi" w:hAnsiTheme="minorHAnsi" w:cstheme="minorHAnsi"/>
                <w:color w:val="000000"/>
                <w:sz w:val="20"/>
                <w:szCs w:val="20"/>
              </w:rPr>
              <w:t>Claims on Securitized Assets</w:t>
            </w:r>
          </w:p>
        </w:tc>
        <w:tc>
          <w:tcPr>
            <w:tcW w:w="1630" w:type="dxa"/>
            <w:tcBorders>
              <w:top w:val="nil"/>
              <w:left w:val="single" w:sz="4" w:space="0" w:color="auto"/>
              <w:bottom w:val="single" w:sz="4" w:space="0" w:color="auto"/>
              <w:right w:val="single" w:sz="4" w:space="0" w:color="auto"/>
            </w:tcBorders>
            <w:noWrap/>
            <w:vAlign w:val="bottom"/>
            <w:hideMark/>
          </w:tcPr>
          <w:p w14:paraId="6CB78949" w14:textId="6E327710"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c>
          <w:tcPr>
            <w:tcW w:w="1901" w:type="dxa"/>
            <w:tcBorders>
              <w:top w:val="nil"/>
              <w:left w:val="nil"/>
              <w:bottom w:val="single" w:sz="4" w:space="0" w:color="auto"/>
              <w:right w:val="single" w:sz="4" w:space="0" w:color="auto"/>
            </w:tcBorders>
            <w:noWrap/>
            <w:vAlign w:val="bottom"/>
            <w:hideMark/>
          </w:tcPr>
          <w:p w14:paraId="581A9F3E" w14:textId="7831C9F8"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c>
          <w:tcPr>
            <w:tcW w:w="1495" w:type="dxa"/>
            <w:tcBorders>
              <w:top w:val="nil"/>
              <w:left w:val="nil"/>
              <w:bottom w:val="single" w:sz="4" w:space="0" w:color="auto"/>
              <w:right w:val="single" w:sz="8" w:space="0" w:color="auto"/>
            </w:tcBorders>
            <w:noWrap/>
            <w:vAlign w:val="bottom"/>
            <w:hideMark/>
          </w:tcPr>
          <w:p w14:paraId="105BF2C1" w14:textId="73874B35"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r>
      <w:tr w:rsidR="00FE561F" w:rsidRPr="00DE68A1" w14:paraId="546E27AD" w14:textId="77777777" w:rsidTr="005F04A5">
        <w:trPr>
          <w:trHeight w:val="278"/>
        </w:trPr>
        <w:tc>
          <w:tcPr>
            <w:tcW w:w="556" w:type="dxa"/>
            <w:tcBorders>
              <w:top w:val="nil"/>
              <w:left w:val="single" w:sz="8" w:space="0" w:color="auto"/>
              <w:bottom w:val="single" w:sz="4" w:space="0" w:color="auto"/>
              <w:right w:val="single" w:sz="4" w:space="0" w:color="auto"/>
            </w:tcBorders>
            <w:vAlign w:val="center"/>
          </w:tcPr>
          <w:p w14:paraId="24EB096C" w14:textId="2A52D8C7" w:rsidR="00FE561F" w:rsidRPr="00DE68A1" w:rsidRDefault="00FE561F" w:rsidP="00FE561F">
            <w:pPr>
              <w:bidi w:val="0"/>
              <w:jc w:val="center"/>
              <w:rPr>
                <w:rFonts w:asciiTheme="minorHAnsi" w:hAnsiTheme="minorHAnsi" w:cstheme="minorHAnsi"/>
                <w:color w:val="000000"/>
                <w:sz w:val="20"/>
                <w:szCs w:val="20"/>
              </w:rPr>
            </w:pPr>
            <w:r w:rsidRPr="00DE68A1">
              <w:rPr>
                <w:rFonts w:asciiTheme="minorHAnsi" w:hAnsiTheme="minorHAnsi" w:cstheme="minorHAnsi"/>
                <w:color w:val="000000"/>
                <w:sz w:val="20"/>
                <w:szCs w:val="20"/>
              </w:rPr>
              <w:t>9</w:t>
            </w:r>
          </w:p>
        </w:tc>
        <w:tc>
          <w:tcPr>
            <w:tcW w:w="3397" w:type="dxa"/>
            <w:tcBorders>
              <w:top w:val="nil"/>
              <w:left w:val="single" w:sz="8" w:space="0" w:color="auto"/>
              <w:bottom w:val="single" w:sz="4" w:space="0" w:color="auto"/>
              <w:right w:val="single" w:sz="4" w:space="0" w:color="auto"/>
            </w:tcBorders>
            <w:noWrap/>
            <w:vAlign w:val="bottom"/>
            <w:hideMark/>
          </w:tcPr>
          <w:p w14:paraId="70FEBD46" w14:textId="27E8B16A" w:rsidR="00FE561F" w:rsidRPr="00DE68A1" w:rsidRDefault="00FE561F" w:rsidP="00FE561F">
            <w:pPr>
              <w:bidi w:val="0"/>
              <w:rPr>
                <w:rFonts w:asciiTheme="minorHAnsi" w:hAnsiTheme="minorHAnsi" w:cstheme="minorHAnsi"/>
                <w:color w:val="000000"/>
                <w:sz w:val="20"/>
                <w:szCs w:val="20"/>
              </w:rPr>
            </w:pPr>
            <w:r w:rsidRPr="00DE68A1">
              <w:rPr>
                <w:rFonts w:asciiTheme="minorHAnsi" w:hAnsiTheme="minorHAnsi" w:cstheme="minorHAnsi"/>
                <w:color w:val="000000"/>
                <w:sz w:val="20"/>
                <w:szCs w:val="20"/>
              </w:rPr>
              <w:t>Credit Derivative claims</w:t>
            </w:r>
          </w:p>
        </w:tc>
        <w:tc>
          <w:tcPr>
            <w:tcW w:w="1630" w:type="dxa"/>
            <w:tcBorders>
              <w:top w:val="nil"/>
              <w:left w:val="single" w:sz="4" w:space="0" w:color="auto"/>
              <w:bottom w:val="single" w:sz="4" w:space="0" w:color="auto"/>
              <w:right w:val="single" w:sz="4" w:space="0" w:color="auto"/>
            </w:tcBorders>
            <w:noWrap/>
            <w:vAlign w:val="bottom"/>
            <w:hideMark/>
          </w:tcPr>
          <w:p w14:paraId="77B0073C" w14:textId="210E8C90"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c>
          <w:tcPr>
            <w:tcW w:w="1901" w:type="dxa"/>
            <w:tcBorders>
              <w:top w:val="nil"/>
              <w:left w:val="nil"/>
              <w:bottom w:val="single" w:sz="4" w:space="0" w:color="auto"/>
              <w:right w:val="single" w:sz="4" w:space="0" w:color="auto"/>
            </w:tcBorders>
            <w:noWrap/>
            <w:vAlign w:val="bottom"/>
            <w:hideMark/>
          </w:tcPr>
          <w:p w14:paraId="37127CB6" w14:textId="291E2C9A"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c>
          <w:tcPr>
            <w:tcW w:w="1495" w:type="dxa"/>
            <w:tcBorders>
              <w:top w:val="nil"/>
              <w:left w:val="nil"/>
              <w:bottom w:val="single" w:sz="4" w:space="0" w:color="auto"/>
              <w:right w:val="single" w:sz="8" w:space="0" w:color="auto"/>
            </w:tcBorders>
            <w:noWrap/>
            <w:vAlign w:val="bottom"/>
            <w:hideMark/>
          </w:tcPr>
          <w:p w14:paraId="5B472BF4" w14:textId="285D2DB0"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r>
      <w:tr w:rsidR="00FE561F" w:rsidRPr="00DE68A1" w14:paraId="7BC9430A" w14:textId="77777777" w:rsidTr="005F04A5">
        <w:trPr>
          <w:trHeight w:val="278"/>
        </w:trPr>
        <w:tc>
          <w:tcPr>
            <w:tcW w:w="556" w:type="dxa"/>
            <w:tcBorders>
              <w:top w:val="nil"/>
              <w:left w:val="single" w:sz="8" w:space="0" w:color="auto"/>
              <w:bottom w:val="single" w:sz="4" w:space="0" w:color="auto"/>
              <w:right w:val="single" w:sz="4" w:space="0" w:color="auto"/>
            </w:tcBorders>
            <w:vAlign w:val="center"/>
          </w:tcPr>
          <w:p w14:paraId="7CF302A4" w14:textId="59875614" w:rsidR="00FE561F" w:rsidRPr="00DE68A1" w:rsidRDefault="00FE561F" w:rsidP="00FE561F">
            <w:pPr>
              <w:bidi w:val="0"/>
              <w:jc w:val="center"/>
              <w:rPr>
                <w:rFonts w:asciiTheme="minorHAnsi" w:hAnsiTheme="minorHAnsi" w:cstheme="minorHAnsi"/>
                <w:color w:val="000000"/>
                <w:sz w:val="20"/>
                <w:szCs w:val="20"/>
              </w:rPr>
            </w:pPr>
            <w:r w:rsidRPr="00DE68A1">
              <w:rPr>
                <w:rFonts w:asciiTheme="minorHAnsi" w:hAnsiTheme="minorHAnsi" w:cstheme="minorHAnsi"/>
                <w:color w:val="000000"/>
                <w:sz w:val="20"/>
                <w:szCs w:val="20"/>
              </w:rPr>
              <w:t>10</w:t>
            </w:r>
          </w:p>
        </w:tc>
        <w:tc>
          <w:tcPr>
            <w:tcW w:w="3397" w:type="dxa"/>
            <w:tcBorders>
              <w:top w:val="nil"/>
              <w:left w:val="single" w:sz="8" w:space="0" w:color="auto"/>
              <w:bottom w:val="single" w:sz="4" w:space="0" w:color="auto"/>
              <w:right w:val="single" w:sz="4" w:space="0" w:color="auto"/>
            </w:tcBorders>
            <w:noWrap/>
            <w:vAlign w:val="bottom"/>
            <w:hideMark/>
          </w:tcPr>
          <w:p w14:paraId="20F4F13D" w14:textId="67D54CDF" w:rsidR="00FE561F" w:rsidRPr="00DE68A1" w:rsidRDefault="00FE561F" w:rsidP="00FE561F">
            <w:pPr>
              <w:bidi w:val="0"/>
              <w:rPr>
                <w:rFonts w:asciiTheme="minorHAnsi" w:hAnsiTheme="minorHAnsi" w:cstheme="minorHAnsi"/>
                <w:color w:val="000000"/>
                <w:sz w:val="20"/>
                <w:szCs w:val="20"/>
              </w:rPr>
            </w:pPr>
            <w:r w:rsidRPr="00DE68A1">
              <w:rPr>
                <w:rFonts w:asciiTheme="minorHAnsi" w:hAnsiTheme="minorHAnsi" w:cstheme="minorHAnsi"/>
                <w:color w:val="000000"/>
                <w:sz w:val="20"/>
                <w:szCs w:val="20"/>
              </w:rPr>
              <w:t>Regulatory Retail</w:t>
            </w:r>
          </w:p>
        </w:tc>
        <w:tc>
          <w:tcPr>
            <w:tcW w:w="1630" w:type="dxa"/>
            <w:tcBorders>
              <w:top w:val="nil"/>
              <w:left w:val="single" w:sz="4" w:space="0" w:color="auto"/>
              <w:bottom w:val="single" w:sz="4" w:space="0" w:color="auto"/>
              <w:right w:val="single" w:sz="4" w:space="0" w:color="auto"/>
            </w:tcBorders>
            <w:noWrap/>
            <w:vAlign w:val="bottom"/>
            <w:hideMark/>
          </w:tcPr>
          <w:p w14:paraId="6FD77F62" w14:textId="46334282"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c>
          <w:tcPr>
            <w:tcW w:w="1901" w:type="dxa"/>
            <w:tcBorders>
              <w:top w:val="nil"/>
              <w:left w:val="nil"/>
              <w:bottom w:val="single" w:sz="4" w:space="0" w:color="auto"/>
              <w:right w:val="single" w:sz="4" w:space="0" w:color="auto"/>
            </w:tcBorders>
            <w:noWrap/>
            <w:vAlign w:val="bottom"/>
            <w:hideMark/>
          </w:tcPr>
          <w:p w14:paraId="393EC4B8" w14:textId="05A1CD04"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c>
          <w:tcPr>
            <w:tcW w:w="1495" w:type="dxa"/>
            <w:tcBorders>
              <w:top w:val="nil"/>
              <w:left w:val="nil"/>
              <w:bottom w:val="single" w:sz="4" w:space="0" w:color="auto"/>
              <w:right w:val="single" w:sz="8" w:space="0" w:color="auto"/>
            </w:tcBorders>
            <w:noWrap/>
            <w:vAlign w:val="bottom"/>
            <w:hideMark/>
          </w:tcPr>
          <w:p w14:paraId="380D92E6" w14:textId="19AE6F1D"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 </w:t>
            </w:r>
          </w:p>
        </w:tc>
      </w:tr>
      <w:tr w:rsidR="00FE561F" w:rsidRPr="00DE68A1" w14:paraId="21498703" w14:textId="77777777" w:rsidTr="005F04A5">
        <w:trPr>
          <w:trHeight w:val="278"/>
        </w:trPr>
        <w:tc>
          <w:tcPr>
            <w:tcW w:w="556" w:type="dxa"/>
            <w:tcBorders>
              <w:top w:val="nil"/>
              <w:left w:val="single" w:sz="8" w:space="0" w:color="auto"/>
              <w:bottom w:val="single" w:sz="4" w:space="0" w:color="auto"/>
              <w:right w:val="single" w:sz="4" w:space="0" w:color="auto"/>
            </w:tcBorders>
            <w:vAlign w:val="center"/>
          </w:tcPr>
          <w:p w14:paraId="0B3A96CE" w14:textId="299B3A8D" w:rsidR="00FE561F" w:rsidRPr="00DE68A1" w:rsidRDefault="00FE561F" w:rsidP="00FE561F">
            <w:pPr>
              <w:bidi w:val="0"/>
              <w:jc w:val="center"/>
              <w:rPr>
                <w:rFonts w:asciiTheme="minorHAnsi" w:hAnsiTheme="minorHAnsi" w:cstheme="minorHAnsi"/>
                <w:color w:val="000000"/>
                <w:sz w:val="20"/>
                <w:szCs w:val="20"/>
              </w:rPr>
            </w:pPr>
            <w:r w:rsidRPr="00DE68A1">
              <w:rPr>
                <w:rFonts w:asciiTheme="minorHAnsi" w:hAnsiTheme="minorHAnsi" w:cstheme="minorHAnsi"/>
                <w:color w:val="000000"/>
                <w:sz w:val="20"/>
                <w:szCs w:val="20"/>
              </w:rPr>
              <w:t>11</w:t>
            </w:r>
          </w:p>
        </w:tc>
        <w:tc>
          <w:tcPr>
            <w:tcW w:w="3397" w:type="dxa"/>
            <w:tcBorders>
              <w:top w:val="nil"/>
              <w:left w:val="single" w:sz="8" w:space="0" w:color="auto"/>
              <w:bottom w:val="single" w:sz="4" w:space="0" w:color="auto"/>
              <w:right w:val="single" w:sz="4" w:space="0" w:color="auto"/>
            </w:tcBorders>
            <w:noWrap/>
            <w:vAlign w:val="bottom"/>
            <w:hideMark/>
          </w:tcPr>
          <w:p w14:paraId="731DCD64" w14:textId="11B9428B" w:rsidR="00FE561F" w:rsidRPr="00DE68A1" w:rsidRDefault="00FE561F" w:rsidP="00FE561F">
            <w:pPr>
              <w:bidi w:val="0"/>
              <w:rPr>
                <w:rFonts w:asciiTheme="minorHAnsi" w:hAnsiTheme="minorHAnsi" w:cstheme="minorHAnsi"/>
                <w:color w:val="000000"/>
                <w:sz w:val="20"/>
                <w:szCs w:val="20"/>
              </w:rPr>
            </w:pPr>
            <w:r w:rsidRPr="00DE68A1">
              <w:rPr>
                <w:rFonts w:asciiTheme="minorHAnsi" w:hAnsiTheme="minorHAnsi" w:cstheme="minorHAnsi"/>
                <w:color w:val="000000"/>
                <w:sz w:val="20"/>
                <w:szCs w:val="20"/>
              </w:rPr>
              <w:t>Past Due Exposures</w:t>
            </w:r>
          </w:p>
        </w:tc>
        <w:tc>
          <w:tcPr>
            <w:tcW w:w="1630" w:type="dxa"/>
            <w:tcBorders>
              <w:top w:val="nil"/>
              <w:left w:val="single" w:sz="4" w:space="0" w:color="auto"/>
              <w:bottom w:val="single" w:sz="4" w:space="0" w:color="auto"/>
              <w:right w:val="single" w:sz="4" w:space="0" w:color="auto"/>
            </w:tcBorders>
            <w:noWrap/>
            <w:vAlign w:val="bottom"/>
          </w:tcPr>
          <w:p w14:paraId="595D71C8" w14:textId="5D755113"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180</w:t>
            </w:r>
          </w:p>
        </w:tc>
        <w:tc>
          <w:tcPr>
            <w:tcW w:w="1901" w:type="dxa"/>
            <w:tcBorders>
              <w:top w:val="nil"/>
              <w:left w:val="nil"/>
              <w:bottom w:val="single" w:sz="4" w:space="0" w:color="auto"/>
              <w:right w:val="single" w:sz="4" w:space="0" w:color="auto"/>
            </w:tcBorders>
            <w:noWrap/>
            <w:vAlign w:val="bottom"/>
          </w:tcPr>
          <w:p w14:paraId="70E2FA9E" w14:textId="78B4311F"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9</w:t>
            </w:r>
          </w:p>
        </w:tc>
        <w:tc>
          <w:tcPr>
            <w:tcW w:w="1495" w:type="dxa"/>
            <w:tcBorders>
              <w:top w:val="nil"/>
              <w:left w:val="nil"/>
              <w:bottom w:val="single" w:sz="4" w:space="0" w:color="auto"/>
              <w:right w:val="single" w:sz="8" w:space="0" w:color="auto"/>
            </w:tcBorders>
            <w:noWrap/>
            <w:vAlign w:val="bottom"/>
          </w:tcPr>
          <w:p w14:paraId="4EB56DFE" w14:textId="33CD6FB1"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189</w:t>
            </w:r>
          </w:p>
        </w:tc>
      </w:tr>
      <w:tr w:rsidR="00FE561F" w:rsidRPr="00DE68A1" w14:paraId="5A2F39FC" w14:textId="77777777" w:rsidTr="005F04A5">
        <w:trPr>
          <w:trHeight w:val="292"/>
        </w:trPr>
        <w:tc>
          <w:tcPr>
            <w:tcW w:w="556" w:type="dxa"/>
            <w:tcBorders>
              <w:top w:val="nil"/>
              <w:left w:val="single" w:sz="8" w:space="0" w:color="auto"/>
              <w:bottom w:val="nil"/>
              <w:right w:val="single" w:sz="4" w:space="0" w:color="auto"/>
            </w:tcBorders>
            <w:vAlign w:val="center"/>
          </w:tcPr>
          <w:p w14:paraId="6EF76BFB" w14:textId="0AACC3E3" w:rsidR="00FE561F" w:rsidRPr="00DE68A1" w:rsidRDefault="00FE561F" w:rsidP="00FE561F">
            <w:pPr>
              <w:bidi w:val="0"/>
              <w:jc w:val="center"/>
              <w:rPr>
                <w:rFonts w:asciiTheme="minorHAnsi" w:hAnsiTheme="minorHAnsi" w:cstheme="minorHAnsi"/>
                <w:color w:val="000000"/>
                <w:sz w:val="20"/>
                <w:szCs w:val="20"/>
              </w:rPr>
            </w:pPr>
            <w:r w:rsidRPr="00DE68A1">
              <w:rPr>
                <w:rFonts w:asciiTheme="minorHAnsi" w:hAnsiTheme="minorHAnsi" w:cstheme="minorHAnsi"/>
                <w:color w:val="000000"/>
                <w:sz w:val="20"/>
                <w:szCs w:val="20"/>
              </w:rPr>
              <w:t>12</w:t>
            </w:r>
          </w:p>
        </w:tc>
        <w:tc>
          <w:tcPr>
            <w:tcW w:w="3397" w:type="dxa"/>
            <w:tcBorders>
              <w:top w:val="nil"/>
              <w:left w:val="single" w:sz="8" w:space="0" w:color="auto"/>
              <w:bottom w:val="nil"/>
              <w:right w:val="single" w:sz="4" w:space="0" w:color="auto"/>
            </w:tcBorders>
            <w:noWrap/>
            <w:vAlign w:val="bottom"/>
            <w:hideMark/>
          </w:tcPr>
          <w:p w14:paraId="1CCD3A7C" w14:textId="61B81B2D" w:rsidR="00FE561F" w:rsidRPr="00DE68A1" w:rsidRDefault="00FE561F" w:rsidP="00FE561F">
            <w:pPr>
              <w:bidi w:val="0"/>
              <w:rPr>
                <w:rFonts w:asciiTheme="minorHAnsi" w:hAnsiTheme="minorHAnsi" w:cstheme="minorHAnsi"/>
                <w:color w:val="000000"/>
                <w:sz w:val="20"/>
                <w:szCs w:val="20"/>
              </w:rPr>
            </w:pPr>
            <w:r w:rsidRPr="00DE68A1">
              <w:rPr>
                <w:rFonts w:asciiTheme="minorHAnsi" w:hAnsiTheme="minorHAnsi" w:cstheme="minorHAnsi"/>
                <w:color w:val="000000"/>
                <w:sz w:val="20"/>
                <w:szCs w:val="20"/>
              </w:rPr>
              <w:t>Other Assets</w:t>
            </w:r>
          </w:p>
        </w:tc>
        <w:tc>
          <w:tcPr>
            <w:tcW w:w="1630" w:type="dxa"/>
            <w:tcBorders>
              <w:top w:val="nil"/>
              <w:left w:val="single" w:sz="4" w:space="0" w:color="auto"/>
              <w:bottom w:val="nil"/>
              <w:right w:val="single" w:sz="4" w:space="0" w:color="auto"/>
            </w:tcBorders>
            <w:noWrap/>
            <w:vAlign w:val="bottom"/>
          </w:tcPr>
          <w:p w14:paraId="084969F6" w14:textId="0ABEFDCB"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178</w:t>
            </w:r>
            <w:r w:rsidR="00EE7D95">
              <w:rPr>
                <w:rFonts w:ascii="Calibri" w:hAnsi="Calibri" w:cs="Calibri"/>
                <w:color w:val="000000"/>
                <w:sz w:val="22"/>
                <w:szCs w:val="22"/>
              </w:rPr>
              <w:t>,</w:t>
            </w:r>
            <w:r w:rsidRPr="00DE68A1">
              <w:rPr>
                <w:rFonts w:ascii="Calibri" w:hAnsi="Calibri" w:cs="Calibri"/>
                <w:color w:val="000000"/>
                <w:sz w:val="22"/>
                <w:szCs w:val="22"/>
              </w:rPr>
              <w:t>285</w:t>
            </w:r>
          </w:p>
        </w:tc>
        <w:tc>
          <w:tcPr>
            <w:tcW w:w="1901" w:type="dxa"/>
            <w:tcBorders>
              <w:top w:val="nil"/>
              <w:left w:val="nil"/>
              <w:bottom w:val="nil"/>
              <w:right w:val="single" w:sz="4" w:space="0" w:color="auto"/>
            </w:tcBorders>
            <w:noWrap/>
            <w:vAlign w:val="bottom"/>
          </w:tcPr>
          <w:p w14:paraId="0372BDB7" w14:textId="5C1B1A94"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12</w:t>
            </w:r>
            <w:r w:rsidR="00EE7D95">
              <w:rPr>
                <w:rFonts w:ascii="Calibri" w:hAnsi="Calibri" w:cs="Calibri"/>
                <w:color w:val="000000"/>
                <w:sz w:val="22"/>
                <w:szCs w:val="22"/>
              </w:rPr>
              <w:t>,</w:t>
            </w:r>
            <w:r w:rsidRPr="00DE68A1">
              <w:rPr>
                <w:rFonts w:ascii="Calibri" w:hAnsi="Calibri" w:cs="Calibri"/>
                <w:color w:val="000000"/>
                <w:sz w:val="22"/>
                <w:szCs w:val="22"/>
              </w:rPr>
              <w:t>666</w:t>
            </w:r>
          </w:p>
        </w:tc>
        <w:tc>
          <w:tcPr>
            <w:tcW w:w="1495" w:type="dxa"/>
            <w:tcBorders>
              <w:top w:val="nil"/>
              <w:left w:val="nil"/>
              <w:bottom w:val="single" w:sz="4" w:space="0" w:color="auto"/>
              <w:right w:val="single" w:sz="8" w:space="0" w:color="auto"/>
            </w:tcBorders>
            <w:noWrap/>
            <w:vAlign w:val="bottom"/>
          </w:tcPr>
          <w:p w14:paraId="63E4C38F" w14:textId="16D784B2" w:rsidR="00FE561F" w:rsidRPr="00DE68A1" w:rsidRDefault="00FE561F" w:rsidP="00205FAB">
            <w:pPr>
              <w:bidi w:val="0"/>
              <w:jc w:val="right"/>
              <w:rPr>
                <w:rFonts w:asciiTheme="minorHAnsi" w:hAnsiTheme="minorHAnsi" w:cstheme="minorHAnsi"/>
                <w:color w:val="000000"/>
                <w:sz w:val="20"/>
                <w:szCs w:val="20"/>
              </w:rPr>
            </w:pPr>
            <w:r w:rsidRPr="00DE68A1">
              <w:rPr>
                <w:rFonts w:ascii="Calibri" w:hAnsi="Calibri" w:cs="Calibri"/>
                <w:color w:val="000000"/>
                <w:sz w:val="22"/>
                <w:szCs w:val="22"/>
              </w:rPr>
              <w:t>190</w:t>
            </w:r>
            <w:r w:rsidR="00EE7D95">
              <w:rPr>
                <w:rFonts w:ascii="Calibri" w:hAnsi="Calibri" w:cs="Calibri"/>
                <w:color w:val="000000"/>
                <w:sz w:val="22"/>
                <w:szCs w:val="22"/>
              </w:rPr>
              <w:t>,</w:t>
            </w:r>
            <w:r w:rsidRPr="00DE68A1">
              <w:rPr>
                <w:rFonts w:ascii="Calibri" w:hAnsi="Calibri" w:cs="Calibri"/>
                <w:color w:val="000000"/>
                <w:sz w:val="22"/>
                <w:szCs w:val="22"/>
              </w:rPr>
              <w:t>951</w:t>
            </w:r>
          </w:p>
        </w:tc>
      </w:tr>
      <w:tr w:rsidR="00014694" w:rsidRPr="00DE68A1" w14:paraId="55E4AD33" w14:textId="77777777" w:rsidTr="001D2EA5">
        <w:trPr>
          <w:trHeight w:val="292"/>
        </w:trPr>
        <w:tc>
          <w:tcPr>
            <w:tcW w:w="3953" w:type="dxa"/>
            <w:gridSpan w:val="2"/>
            <w:tcBorders>
              <w:top w:val="single" w:sz="8" w:space="0" w:color="auto"/>
              <w:left w:val="single" w:sz="8" w:space="0" w:color="auto"/>
              <w:bottom w:val="single" w:sz="8" w:space="0" w:color="auto"/>
              <w:right w:val="single" w:sz="4" w:space="0" w:color="auto"/>
            </w:tcBorders>
            <w:vAlign w:val="center"/>
          </w:tcPr>
          <w:p w14:paraId="60D06E1C" w14:textId="24F665D6" w:rsidR="00014694" w:rsidRPr="00DE68A1" w:rsidRDefault="00014694" w:rsidP="00014694">
            <w:pPr>
              <w:bidi w:val="0"/>
              <w:rPr>
                <w:rFonts w:asciiTheme="minorHAnsi" w:hAnsiTheme="minorHAnsi" w:cstheme="minorHAnsi"/>
                <w:b/>
                <w:bCs/>
                <w:color w:val="000000"/>
                <w:sz w:val="20"/>
                <w:szCs w:val="20"/>
              </w:rPr>
            </w:pPr>
            <w:r w:rsidRPr="00DE68A1">
              <w:rPr>
                <w:rFonts w:asciiTheme="minorHAnsi" w:hAnsiTheme="minorHAnsi" w:cstheme="minorHAnsi"/>
                <w:b/>
                <w:bCs/>
                <w:color w:val="000000"/>
                <w:sz w:val="20"/>
                <w:szCs w:val="20"/>
              </w:rPr>
              <w:t>Total Credit Risk Exposure</w:t>
            </w:r>
          </w:p>
        </w:tc>
        <w:tc>
          <w:tcPr>
            <w:tcW w:w="1630" w:type="dxa"/>
            <w:tcBorders>
              <w:top w:val="single" w:sz="8" w:space="0" w:color="auto"/>
              <w:left w:val="single" w:sz="4" w:space="0" w:color="auto"/>
              <w:bottom w:val="single" w:sz="8" w:space="0" w:color="auto"/>
              <w:right w:val="single" w:sz="4" w:space="0" w:color="auto"/>
            </w:tcBorders>
            <w:noWrap/>
            <w:vAlign w:val="center"/>
          </w:tcPr>
          <w:p w14:paraId="371D01C9" w14:textId="064311A4" w:rsidR="00014694" w:rsidRPr="00271E9D" w:rsidRDefault="002B2AF0" w:rsidP="00205FAB">
            <w:pPr>
              <w:bidi w:val="0"/>
              <w:jc w:val="right"/>
              <w:rPr>
                <w:rFonts w:asciiTheme="minorHAnsi" w:hAnsiTheme="minorHAnsi" w:cstheme="minorHAnsi"/>
                <w:b/>
                <w:bCs/>
                <w:color w:val="000000"/>
                <w:sz w:val="22"/>
                <w:szCs w:val="22"/>
              </w:rPr>
            </w:pPr>
            <w:r w:rsidRPr="00271E9D">
              <w:rPr>
                <w:rFonts w:asciiTheme="minorHAnsi" w:hAnsiTheme="minorHAnsi" w:cstheme="minorHAnsi"/>
                <w:b/>
                <w:bCs/>
                <w:color w:val="000000"/>
                <w:sz w:val="22"/>
                <w:szCs w:val="22"/>
              </w:rPr>
              <w:t xml:space="preserve"> </w:t>
            </w:r>
            <w:r w:rsidR="00FE561F" w:rsidRPr="00271E9D">
              <w:rPr>
                <w:rFonts w:asciiTheme="minorHAnsi" w:hAnsiTheme="minorHAnsi" w:cstheme="minorHAnsi"/>
                <w:b/>
                <w:bCs/>
                <w:color w:val="000000"/>
                <w:sz w:val="22"/>
                <w:szCs w:val="22"/>
              </w:rPr>
              <w:t>880</w:t>
            </w:r>
            <w:r w:rsidR="00EE7D95" w:rsidRPr="00271E9D">
              <w:rPr>
                <w:rFonts w:asciiTheme="minorHAnsi" w:hAnsiTheme="minorHAnsi" w:cstheme="minorHAnsi"/>
                <w:b/>
                <w:bCs/>
                <w:color w:val="000000"/>
                <w:sz w:val="22"/>
                <w:szCs w:val="22"/>
              </w:rPr>
              <w:t>,</w:t>
            </w:r>
            <w:r w:rsidR="00FE561F" w:rsidRPr="00271E9D">
              <w:rPr>
                <w:rFonts w:asciiTheme="minorHAnsi" w:hAnsiTheme="minorHAnsi" w:cstheme="minorHAnsi"/>
                <w:b/>
                <w:bCs/>
                <w:color w:val="000000"/>
                <w:sz w:val="22"/>
                <w:szCs w:val="22"/>
              </w:rPr>
              <w:t>580</w:t>
            </w:r>
          </w:p>
        </w:tc>
        <w:tc>
          <w:tcPr>
            <w:tcW w:w="1901" w:type="dxa"/>
            <w:tcBorders>
              <w:top w:val="single" w:sz="8" w:space="0" w:color="auto"/>
              <w:left w:val="nil"/>
              <w:bottom w:val="single" w:sz="8" w:space="0" w:color="auto"/>
              <w:right w:val="single" w:sz="4" w:space="0" w:color="auto"/>
            </w:tcBorders>
            <w:noWrap/>
            <w:vAlign w:val="center"/>
          </w:tcPr>
          <w:p w14:paraId="6EDA5F26" w14:textId="5C24AE64" w:rsidR="00014694" w:rsidRPr="00271E9D" w:rsidRDefault="002B2AF0" w:rsidP="00205FAB">
            <w:pPr>
              <w:bidi w:val="0"/>
              <w:jc w:val="right"/>
              <w:rPr>
                <w:rFonts w:asciiTheme="minorHAnsi" w:hAnsiTheme="minorHAnsi" w:cstheme="minorHAnsi"/>
                <w:b/>
                <w:bCs/>
                <w:color w:val="000000"/>
                <w:sz w:val="22"/>
                <w:szCs w:val="22"/>
              </w:rPr>
            </w:pPr>
            <w:r w:rsidRPr="00271E9D">
              <w:rPr>
                <w:rFonts w:asciiTheme="minorHAnsi" w:hAnsiTheme="minorHAnsi" w:cstheme="minorHAnsi"/>
                <w:b/>
                <w:bCs/>
                <w:color w:val="000000"/>
                <w:sz w:val="22"/>
                <w:szCs w:val="22"/>
              </w:rPr>
              <w:t xml:space="preserve"> </w:t>
            </w:r>
            <w:r w:rsidR="00FE561F" w:rsidRPr="00271E9D">
              <w:rPr>
                <w:rFonts w:asciiTheme="minorHAnsi" w:hAnsiTheme="minorHAnsi" w:cstheme="minorHAnsi"/>
                <w:b/>
                <w:bCs/>
                <w:color w:val="000000"/>
                <w:sz w:val="22"/>
                <w:szCs w:val="22"/>
              </w:rPr>
              <w:t>68</w:t>
            </w:r>
            <w:r w:rsidR="00EE7D95" w:rsidRPr="00271E9D">
              <w:rPr>
                <w:rFonts w:asciiTheme="minorHAnsi" w:hAnsiTheme="minorHAnsi" w:cstheme="minorHAnsi"/>
                <w:b/>
                <w:bCs/>
                <w:color w:val="000000"/>
                <w:sz w:val="22"/>
                <w:szCs w:val="22"/>
              </w:rPr>
              <w:t>,</w:t>
            </w:r>
            <w:r w:rsidR="00FE561F" w:rsidRPr="00271E9D">
              <w:rPr>
                <w:rFonts w:asciiTheme="minorHAnsi" w:hAnsiTheme="minorHAnsi" w:cstheme="minorHAnsi"/>
                <w:b/>
                <w:bCs/>
                <w:color w:val="000000"/>
                <w:sz w:val="22"/>
                <w:szCs w:val="22"/>
              </w:rPr>
              <w:t>242</w:t>
            </w:r>
          </w:p>
        </w:tc>
        <w:tc>
          <w:tcPr>
            <w:tcW w:w="1495" w:type="dxa"/>
            <w:tcBorders>
              <w:top w:val="single" w:sz="8" w:space="0" w:color="auto"/>
              <w:left w:val="nil"/>
              <w:bottom w:val="single" w:sz="8" w:space="0" w:color="auto"/>
              <w:right w:val="single" w:sz="8" w:space="0" w:color="auto"/>
            </w:tcBorders>
            <w:noWrap/>
            <w:vAlign w:val="center"/>
          </w:tcPr>
          <w:p w14:paraId="4A811A8F" w14:textId="650A6DD7" w:rsidR="00014694" w:rsidRPr="00271E9D" w:rsidRDefault="002B2AF0" w:rsidP="00205FAB">
            <w:pPr>
              <w:bidi w:val="0"/>
              <w:jc w:val="right"/>
              <w:rPr>
                <w:rFonts w:asciiTheme="minorHAnsi" w:hAnsiTheme="minorHAnsi" w:cstheme="minorHAnsi"/>
                <w:b/>
                <w:bCs/>
                <w:color w:val="000000"/>
                <w:sz w:val="22"/>
                <w:szCs w:val="22"/>
              </w:rPr>
            </w:pPr>
            <w:r w:rsidRPr="00271E9D">
              <w:rPr>
                <w:rFonts w:asciiTheme="minorHAnsi" w:hAnsiTheme="minorHAnsi" w:cstheme="minorHAnsi"/>
                <w:b/>
                <w:bCs/>
                <w:color w:val="000000"/>
                <w:sz w:val="22"/>
                <w:szCs w:val="22"/>
              </w:rPr>
              <w:t xml:space="preserve"> </w:t>
            </w:r>
            <w:r w:rsidR="00FE561F" w:rsidRPr="00271E9D">
              <w:rPr>
                <w:rFonts w:asciiTheme="minorHAnsi" w:hAnsiTheme="minorHAnsi" w:cstheme="minorHAnsi"/>
                <w:b/>
                <w:bCs/>
                <w:color w:val="000000"/>
                <w:sz w:val="22"/>
                <w:szCs w:val="22"/>
              </w:rPr>
              <w:t>948</w:t>
            </w:r>
            <w:r w:rsidR="00EE7D95" w:rsidRPr="00271E9D">
              <w:rPr>
                <w:rFonts w:asciiTheme="minorHAnsi" w:hAnsiTheme="minorHAnsi" w:cstheme="minorHAnsi"/>
                <w:b/>
                <w:bCs/>
                <w:color w:val="000000"/>
                <w:sz w:val="22"/>
                <w:szCs w:val="22"/>
              </w:rPr>
              <w:t>,</w:t>
            </w:r>
            <w:r w:rsidR="00FE561F" w:rsidRPr="00271E9D">
              <w:rPr>
                <w:rFonts w:asciiTheme="minorHAnsi" w:hAnsiTheme="minorHAnsi" w:cstheme="minorHAnsi"/>
                <w:b/>
                <w:bCs/>
                <w:color w:val="000000"/>
                <w:sz w:val="22"/>
                <w:szCs w:val="22"/>
              </w:rPr>
              <w:t>822</w:t>
            </w:r>
          </w:p>
        </w:tc>
      </w:tr>
    </w:tbl>
    <w:p w14:paraId="0D9BDB7D" w14:textId="36A25929" w:rsidR="00517058" w:rsidRPr="00DE68A1" w:rsidRDefault="00517058" w:rsidP="00517058">
      <w:pPr>
        <w:bidi w:val="0"/>
        <w:ind w:left="-360"/>
        <w:rPr>
          <w:b/>
          <w:bCs/>
          <w:color w:val="000000"/>
        </w:rPr>
      </w:pPr>
    </w:p>
    <w:p w14:paraId="347E5400" w14:textId="5FBDD60B" w:rsidR="00D7093C" w:rsidRPr="00DE68A1" w:rsidRDefault="002A1769" w:rsidP="00FE561F">
      <w:pPr>
        <w:bidi w:val="0"/>
        <w:ind w:left="284" w:right="239"/>
        <w:jc w:val="lowKashida"/>
        <w:rPr>
          <w:b/>
        </w:rPr>
      </w:pPr>
      <w:r w:rsidRPr="00DE68A1">
        <w:rPr>
          <w:b/>
        </w:rPr>
        <w:t>Geographical Distribution of Exposures as on: 31</w:t>
      </w:r>
      <w:r w:rsidR="00072896" w:rsidRPr="00DE68A1">
        <w:rPr>
          <w:b/>
          <w:vertAlign w:val="superscript"/>
        </w:rPr>
        <w:t>st</w:t>
      </w:r>
      <w:r w:rsidR="00F52ADB" w:rsidRPr="00DE68A1">
        <w:rPr>
          <w:b/>
        </w:rPr>
        <w:t xml:space="preserve"> December</w:t>
      </w:r>
      <w:r w:rsidRPr="00DE68A1">
        <w:rPr>
          <w:b/>
        </w:rPr>
        <w:t xml:space="preserve"> </w:t>
      </w:r>
      <w:r w:rsidR="00E01875" w:rsidRPr="00DE68A1">
        <w:rPr>
          <w:b/>
        </w:rPr>
        <w:t>202</w:t>
      </w:r>
      <w:r w:rsidR="00072896" w:rsidRPr="00DE68A1">
        <w:rPr>
          <w:b/>
        </w:rPr>
        <w:t>5</w:t>
      </w:r>
      <w:r w:rsidRPr="00DE68A1">
        <w:rPr>
          <w:b/>
        </w:rPr>
        <w:t xml:space="preserve"> (All figures in KD ‘000’)</w:t>
      </w:r>
    </w:p>
    <w:p w14:paraId="7A0A3672" w14:textId="27A16D4F" w:rsidR="00E44F29" w:rsidRPr="00DE68A1" w:rsidRDefault="00E44F29" w:rsidP="00E44F29">
      <w:pPr>
        <w:bidi w:val="0"/>
        <w:rPr>
          <w:b/>
          <w:bCs/>
        </w:rPr>
      </w:pPr>
    </w:p>
    <w:tbl>
      <w:tblPr>
        <w:tblStyle w:val="TableGrid"/>
        <w:tblW w:w="8948" w:type="dxa"/>
        <w:tblInd w:w="137" w:type="dxa"/>
        <w:tblLayout w:type="fixed"/>
        <w:tblLook w:val="04A0" w:firstRow="1" w:lastRow="0" w:firstColumn="1" w:lastColumn="0" w:noHBand="0" w:noVBand="1"/>
      </w:tblPr>
      <w:tblGrid>
        <w:gridCol w:w="1134"/>
        <w:gridCol w:w="709"/>
        <w:gridCol w:w="567"/>
        <w:gridCol w:w="709"/>
        <w:gridCol w:w="567"/>
        <w:gridCol w:w="708"/>
        <w:gridCol w:w="567"/>
        <w:gridCol w:w="709"/>
        <w:gridCol w:w="567"/>
        <w:gridCol w:w="709"/>
        <w:gridCol w:w="709"/>
        <w:gridCol w:w="708"/>
        <w:gridCol w:w="585"/>
      </w:tblGrid>
      <w:tr w:rsidR="000043BA" w:rsidRPr="00DE68A1" w14:paraId="7CC79E88" w14:textId="77777777" w:rsidTr="00FC6CE4">
        <w:trPr>
          <w:trHeight w:val="381"/>
        </w:trPr>
        <w:tc>
          <w:tcPr>
            <w:tcW w:w="1134" w:type="dxa"/>
            <w:vMerge w:val="restart"/>
            <w:shd w:val="clear" w:color="auto" w:fill="D9D9D9" w:themeFill="background1" w:themeFillShade="D9"/>
            <w:vAlign w:val="center"/>
          </w:tcPr>
          <w:p w14:paraId="7C8D9F10" w14:textId="185A06CC" w:rsidR="000043BA" w:rsidRPr="00DE68A1" w:rsidRDefault="000043BA" w:rsidP="000043BA">
            <w:pPr>
              <w:bidi w:val="0"/>
              <w:jc w:val="center"/>
              <w:rPr>
                <w:rFonts w:cstheme="minorHAnsi"/>
                <w:b/>
                <w:bCs/>
                <w:sz w:val="18"/>
                <w:szCs w:val="18"/>
              </w:rPr>
            </w:pPr>
            <w:r w:rsidRPr="00DE68A1">
              <w:rPr>
                <w:rFonts w:cstheme="minorHAnsi"/>
                <w:b/>
                <w:bCs/>
                <w:sz w:val="18"/>
                <w:szCs w:val="18"/>
              </w:rPr>
              <w:t>Geography</w:t>
            </w:r>
          </w:p>
        </w:tc>
        <w:tc>
          <w:tcPr>
            <w:tcW w:w="2552" w:type="dxa"/>
            <w:gridSpan w:val="4"/>
            <w:shd w:val="clear" w:color="auto" w:fill="D9D9D9" w:themeFill="background1" w:themeFillShade="D9"/>
            <w:vAlign w:val="center"/>
          </w:tcPr>
          <w:p w14:paraId="4E0B84E7" w14:textId="77777777" w:rsidR="000043BA" w:rsidRPr="00DE68A1" w:rsidRDefault="000043BA" w:rsidP="000043BA">
            <w:pPr>
              <w:bidi w:val="0"/>
              <w:jc w:val="center"/>
              <w:rPr>
                <w:b/>
                <w:bCs/>
                <w:sz w:val="18"/>
                <w:szCs w:val="18"/>
              </w:rPr>
            </w:pPr>
            <w:r w:rsidRPr="00DE68A1">
              <w:rPr>
                <w:b/>
                <w:bCs/>
                <w:sz w:val="18"/>
                <w:szCs w:val="18"/>
              </w:rPr>
              <w:t>Loans &amp; Advances:</w:t>
            </w:r>
          </w:p>
          <w:p w14:paraId="34ABC133" w14:textId="3A57FA1D" w:rsidR="000043BA" w:rsidRPr="00DE68A1" w:rsidRDefault="000043BA" w:rsidP="000043BA">
            <w:pPr>
              <w:bidi w:val="0"/>
              <w:jc w:val="center"/>
              <w:rPr>
                <w:rFonts w:cstheme="minorHAnsi"/>
                <w:b/>
                <w:bCs/>
                <w:sz w:val="18"/>
                <w:szCs w:val="18"/>
              </w:rPr>
            </w:pPr>
            <w:r w:rsidRPr="00DE68A1">
              <w:rPr>
                <w:b/>
                <w:bCs/>
                <w:sz w:val="18"/>
                <w:szCs w:val="18"/>
              </w:rPr>
              <w:t>Commercial Facilities</w:t>
            </w:r>
          </w:p>
        </w:tc>
        <w:tc>
          <w:tcPr>
            <w:tcW w:w="2551" w:type="dxa"/>
            <w:gridSpan w:val="4"/>
            <w:shd w:val="clear" w:color="auto" w:fill="D9D9D9" w:themeFill="background1" w:themeFillShade="D9"/>
            <w:vAlign w:val="center"/>
          </w:tcPr>
          <w:p w14:paraId="2BD044CD" w14:textId="77777777" w:rsidR="000043BA" w:rsidRPr="00DE68A1" w:rsidRDefault="000043BA" w:rsidP="000043BA">
            <w:pPr>
              <w:bidi w:val="0"/>
              <w:jc w:val="center"/>
              <w:rPr>
                <w:b/>
                <w:bCs/>
                <w:sz w:val="18"/>
                <w:szCs w:val="18"/>
              </w:rPr>
            </w:pPr>
            <w:r w:rsidRPr="00DE68A1">
              <w:rPr>
                <w:b/>
                <w:bCs/>
                <w:sz w:val="18"/>
                <w:szCs w:val="18"/>
              </w:rPr>
              <w:t>Loans &amp; Advances:</w:t>
            </w:r>
          </w:p>
          <w:p w14:paraId="21EBEA18" w14:textId="46D8E3A2" w:rsidR="000043BA" w:rsidRPr="00DE68A1" w:rsidRDefault="000043BA" w:rsidP="000043BA">
            <w:pPr>
              <w:bidi w:val="0"/>
              <w:jc w:val="center"/>
              <w:rPr>
                <w:rFonts w:cstheme="minorHAnsi"/>
                <w:b/>
                <w:bCs/>
                <w:sz w:val="18"/>
                <w:szCs w:val="18"/>
              </w:rPr>
            </w:pPr>
            <w:r w:rsidRPr="00DE68A1">
              <w:rPr>
                <w:b/>
                <w:bCs/>
                <w:sz w:val="18"/>
                <w:szCs w:val="18"/>
              </w:rPr>
              <w:t>Industrial loans</w:t>
            </w:r>
          </w:p>
        </w:tc>
        <w:tc>
          <w:tcPr>
            <w:tcW w:w="2711" w:type="dxa"/>
            <w:gridSpan w:val="4"/>
            <w:shd w:val="clear" w:color="auto" w:fill="D9D9D9" w:themeFill="background1" w:themeFillShade="D9"/>
            <w:vAlign w:val="center"/>
          </w:tcPr>
          <w:p w14:paraId="3F3C0639" w14:textId="16BB392F" w:rsidR="000043BA" w:rsidRPr="00DE68A1" w:rsidRDefault="000043BA" w:rsidP="000043BA">
            <w:pPr>
              <w:bidi w:val="0"/>
              <w:jc w:val="center"/>
              <w:rPr>
                <w:b/>
                <w:bCs/>
                <w:sz w:val="18"/>
                <w:szCs w:val="18"/>
              </w:rPr>
            </w:pPr>
            <w:r w:rsidRPr="00DE68A1">
              <w:rPr>
                <w:b/>
                <w:bCs/>
                <w:sz w:val="18"/>
                <w:szCs w:val="18"/>
              </w:rPr>
              <w:t>Total Loans and Advances</w:t>
            </w:r>
          </w:p>
        </w:tc>
      </w:tr>
      <w:tr w:rsidR="00423D62" w:rsidRPr="00DE68A1" w14:paraId="6A8FDF48" w14:textId="29FB3A59" w:rsidTr="00FC6CE4">
        <w:trPr>
          <w:trHeight w:val="218"/>
        </w:trPr>
        <w:tc>
          <w:tcPr>
            <w:tcW w:w="1134" w:type="dxa"/>
            <w:vMerge/>
            <w:shd w:val="clear" w:color="auto" w:fill="D9D9D9" w:themeFill="background1" w:themeFillShade="D9"/>
          </w:tcPr>
          <w:p w14:paraId="52CF1298" w14:textId="48687ECA" w:rsidR="00423D62" w:rsidRPr="00DE68A1" w:rsidRDefault="00423D62" w:rsidP="00423D62">
            <w:pPr>
              <w:bidi w:val="0"/>
              <w:rPr>
                <w:rFonts w:cstheme="minorHAnsi"/>
                <w:b/>
                <w:bCs/>
                <w:sz w:val="18"/>
                <w:szCs w:val="18"/>
              </w:rPr>
            </w:pPr>
          </w:p>
        </w:tc>
        <w:tc>
          <w:tcPr>
            <w:tcW w:w="1276" w:type="dxa"/>
            <w:gridSpan w:val="2"/>
            <w:shd w:val="clear" w:color="auto" w:fill="D9D9D9" w:themeFill="background1" w:themeFillShade="D9"/>
            <w:vAlign w:val="center"/>
          </w:tcPr>
          <w:p w14:paraId="161E7518" w14:textId="6CD25DE7" w:rsidR="00423D62" w:rsidRPr="00DE68A1" w:rsidRDefault="00423D62" w:rsidP="00423D62">
            <w:pPr>
              <w:bidi w:val="0"/>
              <w:jc w:val="center"/>
              <w:rPr>
                <w:rFonts w:cstheme="minorHAnsi"/>
                <w:b/>
                <w:bCs/>
                <w:sz w:val="18"/>
                <w:szCs w:val="18"/>
              </w:rPr>
            </w:pPr>
            <w:r w:rsidRPr="00DE68A1">
              <w:rPr>
                <w:rFonts w:cstheme="minorHAnsi"/>
                <w:b/>
                <w:bCs/>
                <w:color w:val="000000" w:themeColor="text1"/>
                <w:sz w:val="18"/>
                <w:szCs w:val="18"/>
              </w:rPr>
              <w:t xml:space="preserve">Dec </w:t>
            </w:r>
            <w:r w:rsidR="00E01875" w:rsidRPr="00DE68A1">
              <w:rPr>
                <w:rFonts w:cstheme="minorHAnsi"/>
                <w:b/>
                <w:bCs/>
                <w:color w:val="000000" w:themeColor="text1"/>
                <w:sz w:val="18"/>
                <w:szCs w:val="18"/>
              </w:rPr>
              <w:t>202</w:t>
            </w:r>
            <w:r w:rsidR="00072896" w:rsidRPr="00DE68A1">
              <w:rPr>
                <w:rFonts w:cstheme="minorHAnsi"/>
                <w:b/>
                <w:bCs/>
                <w:color w:val="000000" w:themeColor="text1"/>
                <w:sz w:val="18"/>
                <w:szCs w:val="18"/>
              </w:rPr>
              <w:t>5</w:t>
            </w:r>
          </w:p>
        </w:tc>
        <w:tc>
          <w:tcPr>
            <w:tcW w:w="1276" w:type="dxa"/>
            <w:gridSpan w:val="2"/>
            <w:shd w:val="clear" w:color="auto" w:fill="D9D9D9" w:themeFill="background1" w:themeFillShade="D9"/>
            <w:vAlign w:val="center"/>
          </w:tcPr>
          <w:p w14:paraId="03AC2525" w14:textId="2EAEAD22" w:rsidR="00423D62" w:rsidRPr="00DE68A1" w:rsidRDefault="00423D62" w:rsidP="00423D62">
            <w:pPr>
              <w:bidi w:val="0"/>
              <w:jc w:val="center"/>
              <w:rPr>
                <w:rFonts w:cstheme="minorHAnsi"/>
                <w:b/>
                <w:bCs/>
                <w:sz w:val="18"/>
                <w:szCs w:val="18"/>
              </w:rPr>
            </w:pPr>
            <w:r w:rsidRPr="00DE68A1">
              <w:rPr>
                <w:rFonts w:cstheme="minorHAnsi"/>
                <w:b/>
                <w:bCs/>
                <w:color w:val="000000" w:themeColor="text1"/>
                <w:sz w:val="18"/>
                <w:szCs w:val="18"/>
              </w:rPr>
              <w:t xml:space="preserve">Dec </w:t>
            </w:r>
            <w:r w:rsidR="009831A4" w:rsidRPr="00DE68A1">
              <w:rPr>
                <w:rFonts w:cstheme="minorHAnsi"/>
                <w:b/>
                <w:bCs/>
                <w:color w:val="000000" w:themeColor="text1"/>
                <w:sz w:val="18"/>
                <w:szCs w:val="18"/>
              </w:rPr>
              <w:t>202</w:t>
            </w:r>
            <w:r w:rsidR="00072896" w:rsidRPr="00DE68A1">
              <w:rPr>
                <w:rFonts w:cstheme="minorHAnsi"/>
                <w:b/>
                <w:bCs/>
                <w:color w:val="000000" w:themeColor="text1"/>
                <w:sz w:val="18"/>
                <w:szCs w:val="18"/>
              </w:rPr>
              <w:t>4</w:t>
            </w:r>
          </w:p>
        </w:tc>
        <w:tc>
          <w:tcPr>
            <w:tcW w:w="1275" w:type="dxa"/>
            <w:gridSpan w:val="2"/>
            <w:shd w:val="clear" w:color="auto" w:fill="D9D9D9" w:themeFill="background1" w:themeFillShade="D9"/>
            <w:vAlign w:val="center"/>
          </w:tcPr>
          <w:p w14:paraId="3C72C58A" w14:textId="595FCDDF" w:rsidR="00423D62" w:rsidRPr="00DE68A1" w:rsidRDefault="00423D62" w:rsidP="00423D62">
            <w:pPr>
              <w:bidi w:val="0"/>
              <w:jc w:val="center"/>
              <w:rPr>
                <w:rFonts w:cstheme="minorHAnsi"/>
                <w:b/>
                <w:bCs/>
                <w:sz w:val="18"/>
                <w:szCs w:val="18"/>
              </w:rPr>
            </w:pPr>
            <w:r w:rsidRPr="00DE68A1">
              <w:rPr>
                <w:rFonts w:cstheme="minorHAnsi"/>
                <w:b/>
                <w:bCs/>
                <w:color w:val="000000" w:themeColor="text1"/>
                <w:sz w:val="18"/>
                <w:szCs w:val="18"/>
              </w:rPr>
              <w:t xml:space="preserve">Dec </w:t>
            </w:r>
            <w:r w:rsidR="00E01875" w:rsidRPr="00DE68A1">
              <w:rPr>
                <w:rFonts w:cstheme="minorHAnsi"/>
                <w:b/>
                <w:bCs/>
                <w:color w:val="000000" w:themeColor="text1"/>
                <w:sz w:val="18"/>
                <w:szCs w:val="18"/>
              </w:rPr>
              <w:t>202</w:t>
            </w:r>
            <w:r w:rsidR="00072896" w:rsidRPr="00DE68A1">
              <w:rPr>
                <w:rFonts w:cstheme="minorHAnsi"/>
                <w:b/>
                <w:bCs/>
                <w:color w:val="000000" w:themeColor="text1"/>
                <w:sz w:val="18"/>
                <w:szCs w:val="18"/>
              </w:rPr>
              <w:t>5</w:t>
            </w:r>
          </w:p>
        </w:tc>
        <w:tc>
          <w:tcPr>
            <w:tcW w:w="1276" w:type="dxa"/>
            <w:gridSpan w:val="2"/>
            <w:shd w:val="clear" w:color="auto" w:fill="D9D9D9" w:themeFill="background1" w:themeFillShade="D9"/>
            <w:vAlign w:val="center"/>
          </w:tcPr>
          <w:p w14:paraId="1EACC679" w14:textId="1EB03BEC" w:rsidR="00423D62" w:rsidRPr="00DE68A1" w:rsidRDefault="00423D62" w:rsidP="00423D62">
            <w:pPr>
              <w:bidi w:val="0"/>
              <w:jc w:val="center"/>
              <w:rPr>
                <w:rFonts w:cstheme="minorHAnsi"/>
                <w:b/>
                <w:bCs/>
                <w:sz w:val="18"/>
                <w:szCs w:val="18"/>
              </w:rPr>
            </w:pPr>
            <w:r w:rsidRPr="00DE68A1">
              <w:rPr>
                <w:rFonts w:cstheme="minorHAnsi"/>
                <w:b/>
                <w:bCs/>
                <w:color w:val="000000" w:themeColor="text1"/>
                <w:sz w:val="18"/>
                <w:szCs w:val="18"/>
              </w:rPr>
              <w:t xml:space="preserve">Dec </w:t>
            </w:r>
            <w:r w:rsidR="009831A4" w:rsidRPr="00DE68A1">
              <w:rPr>
                <w:rFonts w:cstheme="minorHAnsi"/>
                <w:b/>
                <w:bCs/>
                <w:color w:val="000000" w:themeColor="text1"/>
                <w:sz w:val="18"/>
                <w:szCs w:val="18"/>
              </w:rPr>
              <w:t>202</w:t>
            </w:r>
            <w:r w:rsidR="00072896" w:rsidRPr="00DE68A1">
              <w:rPr>
                <w:rFonts w:cstheme="minorHAnsi"/>
                <w:b/>
                <w:bCs/>
                <w:color w:val="000000" w:themeColor="text1"/>
                <w:sz w:val="18"/>
                <w:szCs w:val="18"/>
              </w:rPr>
              <w:t>4</w:t>
            </w:r>
          </w:p>
        </w:tc>
        <w:tc>
          <w:tcPr>
            <w:tcW w:w="1418" w:type="dxa"/>
            <w:gridSpan w:val="2"/>
            <w:shd w:val="clear" w:color="auto" w:fill="D9D9D9" w:themeFill="background1" w:themeFillShade="D9"/>
            <w:vAlign w:val="center"/>
          </w:tcPr>
          <w:p w14:paraId="25FA2134" w14:textId="55C98F88" w:rsidR="00423D62" w:rsidRPr="00DE68A1" w:rsidRDefault="00423D62" w:rsidP="00423D62">
            <w:pPr>
              <w:bidi w:val="0"/>
              <w:jc w:val="center"/>
              <w:rPr>
                <w:rFonts w:cstheme="minorHAnsi"/>
                <w:b/>
                <w:bCs/>
                <w:sz w:val="18"/>
                <w:szCs w:val="18"/>
              </w:rPr>
            </w:pPr>
            <w:r w:rsidRPr="00DE68A1">
              <w:rPr>
                <w:rFonts w:cstheme="minorHAnsi"/>
                <w:b/>
                <w:bCs/>
                <w:color w:val="000000" w:themeColor="text1"/>
                <w:sz w:val="18"/>
                <w:szCs w:val="18"/>
              </w:rPr>
              <w:t xml:space="preserve">Dec </w:t>
            </w:r>
            <w:r w:rsidR="00E01875" w:rsidRPr="00DE68A1">
              <w:rPr>
                <w:rFonts w:cstheme="minorHAnsi"/>
                <w:b/>
                <w:bCs/>
                <w:color w:val="000000" w:themeColor="text1"/>
                <w:sz w:val="18"/>
                <w:szCs w:val="18"/>
              </w:rPr>
              <w:t>202</w:t>
            </w:r>
            <w:r w:rsidR="00072896" w:rsidRPr="00DE68A1">
              <w:rPr>
                <w:rFonts w:cstheme="minorHAnsi"/>
                <w:b/>
                <w:bCs/>
                <w:color w:val="000000" w:themeColor="text1"/>
                <w:sz w:val="18"/>
                <w:szCs w:val="18"/>
              </w:rPr>
              <w:t>5</w:t>
            </w:r>
          </w:p>
        </w:tc>
        <w:tc>
          <w:tcPr>
            <w:tcW w:w="1293" w:type="dxa"/>
            <w:gridSpan w:val="2"/>
            <w:shd w:val="clear" w:color="auto" w:fill="D9D9D9" w:themeFill="background1" w:themeFillShade="D9"/>
            <w:vAlign w:val="center"/>
          </w:tcPr>
          <w:p w14:paraId="1BFAFD88" w14:textId="54F7D24E" w:rsidR="00423D62" w:rsidRPr="00DE68A1" w:rsidRDefault="00423D62" w:rsidP="00423D62">
            <w:pPr>
              <w:bidi w:val="0"/>
              <w:jc w:val="center"/>
              <w:rPr>
                <w:rFonts w:cstheme="minorHAnsi"/>
                <w:b/>
                <w:bCs/>
                <w:sz w:val="18"/>
                <w:szCs w:val="18"/>
              </w:rPr>
            </w:pPr>
            <w:r w:rsidRPr="00DE68A1">
              <w:rPr>
                <w:rFonts w:cstheme="minorHAnsi"/>
                <w:b/>
                <w:bCs/>
                <w:color w:val="000000" w:themeColor="text1"/>
                <w:sz w:val="18"/>
                <w:szCs w:val="18"/>
              </w:rPr>
              <w:t xml:space="preserve">Dec </w:t>
            </w:r>
            <w:r w:rsidR="009831A4" w:rsidRPr="00DE68A1">
              <w:rPr>
                <w:rFonts w:cstheme="minorHAnsi"/>
                <w:b/>
                <w:bCs/>
                <w:color w:val="000000" w:themeColor="text1"/>
                <w:sz w:val="18"/>
                <w:szCs w:val="18"/>
              </w:rPr>
              <w:t>202</w:t>
            </w:r>
            <w:r w:rsidR="00072896" w:rsidRPr="00DE68A1">
              <w:rPr>
                <w:rFonts w:cstheme="minorHAnsi"/>
                <w:b/>
                <w:bCs/>
                <w:color w:val="000000" w:themeColor="text1"/>
                <w:sz w:val="18"/>
                <w:szCs w:val="18"/>
              </w:rPr>
              <w:t>4</w:t>
            </w:r>
          </w:p>
        </w:tc>
      </w:tr>
      <w:tr w:rsidR="004235C8" w:rsidRPr="00DE68A1" w14:paraId="009DD491" w14:textId="06DD0D3F" w:rsidTr="00FC6CE4">
        <w:trPr>
          <w:trHeight w:val="397"/>
        </w:trPr>
        <w:tc>
          <w:tcPr>
            <w:tcW w:w="1134" w:type="dxa"/>
            <w:shd w:val="clear" w:color="auto" w:fill="D9D9D9" w:themeFill="background1" w:themeFillShade="D9"/>
            <w:vAlign w:val="center"/>
          </w:tcPr>
          <w:p w14:paraId="2C75C112" w14:textId="4598D3B3" w:rsidR="00710940" w:rsidRPr="00DE68A1" w:rsidRDefault="00710940" w:rsidP="00710940">
            <w:pPr>
              <w:bidi w:val="0"/>
              <w:rPr>
                <w:rFonts w:cstheme="minorHAnsi"/>
                <w:b/>
                <w:bCs/>
                <w:sz w:val="16"/>
                <w:szCs w:val="16"/>
              </w:rPr>
            </w:pPr>
            <w:r w:rsidRPr="00DE68A1">
              <w:rPr>
                <w:rFonts w:cstheme="minorHAnsi"/>
                <w:b/>
                <w:bCs/>
                <w:sz w:val="16"/>
                <w:szCs w:val="16"/>
              </w:rPr>
              <w:t>Kuwait</w:t>
            </w:r>
          </w:p>
        </w:tc>
        <w:tc>
          <w:tcPr>
            <w:tcW w:w="709" w:type="dxa"/>
            <w:vAlign w:val="center"/>
          </w:tcPr>
          <w:p w14:paraId="3C7CA94E" w14:textId="04EF1402" w:rsidR="0054709F" w:rsidRPr="00DE68A1" w:rsidRDefault="00FE561F" w:rsidP="0054709F">
            <w:pPr>
              <w:bidi w:val="0"/>
              <w:jc w:val="center"/>
              <w:rPr>
                <w:rFonts w:cstheme="minorHAnsi"/>
                <w:bCs/>
                <w:sz w:val="14"/>
                <w:szCs w:val="14"/>
              </w:rPr>
            </w:pPr>
            <w:r w:rsidRPr="00DE68A1">
              <w:rPr>
                <w:rFonts w:cstheme="minorHAnsi"/>
                <w:bCs/>
                <w:sz w:val="14"/>
                <w:szCs w:val="14"/>
              </w:rPr>
              <w:t>214</w:t>
            </w:r>
            <w:r w:rsidR="00E60F9F">
              <w:rPr>
                <w:rFonts w:cstheme="minorHAnsi"/>
                <w:bCs/>
                <w:sz w:val="14"/>
                <w:szCs w:val="14"/>
              </w:rPr>
              <w:t>,</w:t>
            </w:r>
            <w:r w:rsidRPr="00DE68A1">
              <w:rPr>
                <w:rFonts w:cstheme="minorHAnsi"/>
                <w:bCs/>
                <w:sz w:val="14"/>
                <w:szCs w:val="14"/>
              </w:rPr>
              <w:t>574</w:t>
            </w:r>
          </w:p>
        </w:tc>
        <w:tc>
          <w:tcPr>
            <w:tcW w:w="567" w:type="dxa"/>
            <w:vAlign w:val="center"/>
          </w:tcPr>
          <w:p w14:paraId="1577E00B" w14:textId="0000B105" w:rsidR="00710940" w:rsidRPr="00DE68A1" w:rsidRDefault="0054709F" w:rsidP="00710940">
            <w:pPr>
              <w:bidi w:val="0"/>
              <w:jc w:val="center"/>
              <w:rPr>
                <w:rFonts w:cstheme="minorHAnsi"/>
                <w:bCs/>
                <w:sz w:val="14"/>
                <w:szCs w:val="14"/>
              </w:rPr>
            </w:pPr>
            <w:r w:rsidRPr="00DE68A1">
              <w:rPr>
                <w:rFonts w:cstheme="minorHAnsi"/>
                <w:bCs/>
                <w:sz w:val="14"/>
                <w:szCs w:val="14"/>
              </w:rPr>
              <w:t>100%</w:t>
            </w:r>
          </w:p>
        </w:tc>
        <w:tc>
          <w:tcPr>
            <w:tcW w:w="709" w:type="dxa"/>
            <w:vAlign w:val="center"/>
          </w:tcPr>
          <w:p w14:paraId="32DABD25" w14:textId="5355E18E" w:rsidR="00710940" w:rsidRPr="00DE68A1" w:rsidRDefault="00072896" w:rsidP="00710940">
            <w:pPr>
              <w:bidi w:val="0"/>
              <w:jc w:val="center"/>
              <w:rPr>
                <w:rFonts w:cstheme="minorHAnsi"/>
                <w:b/>
                <w:bCs/>
                <w:sz w:val="14"/>
                <w:szCs w:val="14"/>
              </w:rPr>
            </w:pPr>
            <w:r w:rsidRPr="00DE68A1">
              <w:rPr>
                <w:rFonts w:cstheme="minorHAnsi"/>
                <w:bCs/>
                <w:sz w:val="14"/>
                <w:szCs w:val="14"/>
              </w:rPr>
              <w:t>218,885</w:t>
            </w:r>
          </w:p>
        </w:tc>
        <w:tc>
          <w:tcPr>
            <w:tcW w:w="567" w:type="dxa"/>
            <w:vAlign w:val="center"/>
          </w:tcPr>
          <w:p w14:paraId="0C97024C" w14:textId="7E7323DE" w:rsidR="00710940" w:rsidRPr="00DE68A1" w:rsidRDefault="00710940" w:rsidP="00710940">
            <w:pPr>
              <w:bidi w:val="0"/>
              <w:jc w:val="center"/>
              <w:rPr>
                <w:rFonts w:cstheme="minorHAnsi"/>
                <w:b/>
                <w:bCs/>
                <w:sz w:val="14"/>
                <w:szCs w:val="14"/>
              </w:rPr>
            </w:pPr>
            <w:r w:rsidRPr="00DE68A1">
              <w:rPr>
                <w:rFonts w:cstheme="minorHAnsi"/>
                <w:bCs/>
                <w:sz w:val="14"/>
                <w:szCs w:val="14"/>
              </w:rPr>
              <w:t>100%</w:t>
            </w:r>
          </w:p>
        </w:tc>
        <w:tc>
          <w:tcPr>
            <w:tcW w:w="708" w:type="dxa"/>
            <w:vAlign w:val="center"/>
          </w:tcPr>
          <w:p w14:paraId="183FC686" w14:textId="2BBB1FE2" w:rsidR="0054709F" w:rsidRPr="00DE68A1" w:rsidRDefault="00FE561F" w:rsidP="0054709F">
            <w:pPr>
              <w:bidi w:val="0"/>
              <w:jc w:val="center"/>
              <w:rPr>
                <w:rFonts w:cstheme="minorHAnsi"/>
                <w:bCs/>
                <w:sz w:val="14"/>
                <w:szCs w:val="14"/>
              </w:rPr>
            </w:pPr>
            <w:r w:rsidRPr="00DE68A1">
              <w:rPr>
                <w:rFonts w:cstheme="minorHAnsi"/>
                <w:bCs/>
                <w:sz w:val="14"/>
                <w:szCs w:val="14"/>
              </w:rPr>
              <w:t>154</w:t>
            </w:r>
            <w:r w:rsidR="00E60F9F">
              <w:rPr>
                <w:rFonts w:cstheme="minorHAnsi"/>
                <w:bCs/>
                <w:sz w:val="14"/>
                <w:szCs w:val="14"/>
              </w:rPr>
              <w:t>,</w:t>
            </w:r>
            <w:r w:rsidRPr="00DE68A1">
              <w:rPr>
                <w:rFonts w:cstheme="minorHAnsi"/>
                <w:bCs/>
                <w:sz w:val="14"/>
                <w:szCs w:val="14"/>
              </w:rPr>
              <w:t>343</w:t>
            </w:r>
          </w:p>
        </w:tc>
        <w:tc>
          <w:tcPr>
            <w:tcW w:w="567" w:type="dxa"/>
            <w:vAlign w:val="center"/>
          </w:tcPr>
          <w:p w14:paraId="61AFBCE6" w14:textId="73C80689" w:rsidR="0054709F" w:rsidRPr="00DE68A1" w:rsidRDefault="0054709F" w:rsidP="0054709F">
            <w:pPr>
              <w:bidi w:val="0"/>
              <w:jc w:val="center"/>
              <w:rPr>
                <w:rFonts w:cstheme="minorHAnsi"/>
                <w:bCs/>
                <w:sz w:val="14"/>
                <w:szCs w:val="14"/>
              </w:rPr>
            </w:pPr>
            <w:r w:rsidRPr="00DE68A1">
              <w:rPr>
                <w:rFonts w:cstheme="minorHAnsi"/>
                <w:bCs/>
                <w:sz w:val="14"/>
                <w:szCs w:val="14"/>
              </w:rPr>
              <w:t>100%</w:t>
            </w:r>
          </w:p>
        </w:tc>
        <w:tc>
          <w:tcPr>
            <w:tcW w:w="709" w:type="dxa"/>
            <w:vAlign w:val="center"/>
          </w:tcPr>
          <w:p w14:paraId="2DEEA291" w14:textId="67EA2F09" w:rsidR="00710940" w:rsidRPr="00DE68A1" w:rsidRDefault="00072896" w:rsidP="00710940">
            <w:pPr>
              <w:bidi w:val="0"/>
              <w:jc w:val="center"/>
              <w:rPr>
                <w:rFonts w:cstheme="minorHAnsi"/>
                <w:b/>
                <w:bCs/>
                <w:sz w:val="14"/>
                <w:szCs w:val="14"/>
              </w:rPr>
            </w:pPr>
            <w:r w:rsidRPr="00DE68A1">
              <w:rPr>
                <w:rFonts w:cstheme="minorHAnsi"/>
                <w:bCs/>
                <w:sz w:val="14"/>
                <w:szCs w:val="14"/>
              </w:rPr>
              <w:t>150,115</w:t>
            </w:r>
          </w:p>
        </w:tc>
        <w:tc>
          <w:tcPr>
            <w:tcW w:w="567" w:type="dxa"/>
            <w:vAlign w:val="center"/>
          </w:tcPr>
          <w:p w14:paraId="36DF5471" w14:textId="32BFC6CC" w:rsidR="00710940" w:rsidRPr="00DE68A1" w:rsidRDefault="00710940" w:rsidP="00710940">
            <w:pPr>
              <w:bidi w:val="0"/>
              <w:jc w:val="center"/>
              <w:rPr>
                <w:rFonts w:cstheme="minorHAnsi"/>
                <w:b/>
                <w:bCs/>
                <w:sz w:val="14"/>
                <w:szCs w:val="14"/>
              </w:rPr>
            </w:pPr>
            <w:r w:rsidRPr="00DE68A1">
              <w:rPr>
                <w:rFonts w:cstheme="minorHAnsi"/>
                <w:bCs/>
                <w:sz w:val="14"/>
                <w:szCs w:val="14"/>
              </w:rPr>
              <w:t>100%</w:t>
            </w:r>
          </w:p>
        </w:tc>
        <w:tc>
          <w:tcPr>
            <w:tcW w:w="709" w:type="dxa"/>
            <w:vAlign w:val="center"/>
          </w:tcPr>
          <w:p w14:paraId="30B73CA2" w14:textId="02229AC7" w:rsidR="0054709F" w:rsidRPr="00DE68A1" w:rsidRDefault="00FE561F" w:rsidP="0054709F">
            <w:pPr>
              <w:bidi w:val="0"/>
              <w:jc w:val="center"/>
              <w:rPr>
                <w:rFonts w:cstheme="minorHAnsi"/>
                <w:bCs/>
                <w:sz w:val="14"/>
                <w:szCs w:val="14"/>
              </w:rPr>
            </w:pPr>
            <w:r w:rsidRPr="00DE68A1">
              <w:rPr>
                <w:rFonts w:cstheme="minorHAnsi"/>
                <w:bCs/>
                <w:sz w:val="14"/>
                <w:szCs w:val="14"/>
              </w:rPr>
              <w:t>368</w:t>
            </w:r>
            <w:r w:rsidR="00E60F9F">
              <w:rPr>
                <w:rFonts w:cstheme="minorHAnsi"/>
                <w:bCs/>
                <w:sz w:val="14"/>
                <w:szCs w:val="14"/>
              </w:rPr>
              <w:t>,</w:t>
            </w:r>
            <w:r w:rsidRPr="00DE68A1">
              <w:rPr>
                <w:rFonts w:cstheme="minorHAnsi"/>
                <w:bCs/>
                <w:sz w:val="14"/>
                <w:szCs w:val="14"/>
              </w:rPr>
              <w:t>917</w:t>
            </w:r>
          </w:p>
        </w:tc>
        <w:tc>
          <w:tcPr>
            <w:tcW w:w="709" w:type="dxa"/>
            <w:vAlign w:val="center"/>
          </w:tcPr>
          <w:p w14:paraId="6951DE42" w14:textId="09C8E288" w:rsidR="0054709F" w:rsidRPr="00DE68A1" w:rsidRDefault="0054709F" w:rsidP="0054709F">
            <w:pPr>
              <w:bidi w:val="0"/>
              <w:jc w:val="center"/>
              <w:rPr>
                <w:rFonts w:cstheme="minorHAnsi"/>
                <w:bCs/>
                <w:sz w:val="14"/>
                <w:szCs w:val="14"/>
              </w:rPr>
            </w:pPr>
            <w:r w:rsidRPr="00DE68A1">
              <w:rPr>
                <w:rFonts w:cstheme="minorHAnsi"/>
                <w:bCs/>
                <w:sz w:val="14"/>
                <w:szCs w:val="14"/>
              </w:rPr>
              <w:t>100%</w:t>
            </w:r>
          </w:p>
        </w:tc>
        <w:tc>
          <w:tcPr>
            <w:tcW w:w="708" w:type="dxa"/>
            <w:vAlign w:val="center"/>
          </w:tcPr>
          <w:p w14:paraId="04C888E9" w14:textId="0C413FBD" w:rsidR="00710940" w:rsidRPr="00DE68A1" w:rsidRDefault="00072896" w:rsidP="00710940">
            <w:pPr>
              <w:bidi w:val="0"/>
              <w:jc w:val="center"/>
              <w:rPr>
                <w:rFonts w:cstheme="minorHAnsi"/>
                <w:bCs/>
                <w:sz w:val="14"/>
                <w:szCs w:val="14"/>
              </w:rPr>
            </w:pPr>
            <w:r w:rsidRPr="00DE68A1">
              <w:rPr>
                <w:rFonts w:cstheme="minorHAnsi"/>
                <w:bCs/>
                <w:sz w:val="14"/>
                <w:szCs w:val="14"/>
              </w:rPr>
              <w:t>369,000</w:t>
            </w:r>
          </w:p>
        </w:tc>
        <w:tc>
          <w:tcPr>
            <w:tcW w:w="585" w:type="dxa"/>
            <w:vAlign w:val="center"/>
          </w:tcPr>
          <w:p w14:paraId="1C38FA95" w14:textId="7D2A7D49" w:rsidR="00710940" w:rsidRPr="00DE68A1" w:rsidRDefault="00710940" w:rsidP="00710940">
            <w:pPr>
              <w:bidi w:val="0"/>
              <w:jc w:val="center"/>
              <w:rPr>
                <w:rFonts w:cstheme="minorHAnsi"/>
                <w:bCs/>
                <w:sz w:val="14"/>
                <w:szCs w:val="14"/>
              </w:rPr>
            </w:pPr>
            <w:r w:rsidRPr="00DE68A1">
              <w:rPr>
                <w:rFonts w:cstheme="minorHAnsi"/>
                <w:bCs/>
                <w:sz w:val="14"/>
                <w:szCs w:val="14"/>
              </w:rPr>
              <w:t>100%</w:t>
            </w:r>
          </w:p>
        </w:tc>
      </w:tr>
      <w:tr w:rsidR="004235C8" w:rsidRPr="00DE68A1" w14:paraId="40270B05" w14:textId="50F1F8D9" w:rsidTr="00FC6CE4">
        <w:trPr>
          <w:trHeight w:val="397"/>
        </w:trPr>
        <w:tc>
          <w:tcPr>
            <w:tcW w:w="1134" w:type="dxa"/>
            <w:shd w:val="clear" w:color="auto" w:fill="D9D9D9" w:themeFill="background1" w:themeFillShade="D9"/>
            <w:vAlign w:val="center"/>
          </w:tcPr>
          <w:p w14:paraId="41F07D9E" w14:textId="12FE621B" w:rsidR="00710940" w:rsidRPr="00DE68A1" w:rsidRDefault="00710940" w:rsidP="00710940">
            <w:pPr>
              <w:bidi w:val="0"/>
              <w:rPr>
                <w:rFonts w:cstheme="minorHAnsi"/>
                <w:b/>
                <w:bCs/>
                <w:sz w:val="16"/>
                <w:szCs w:val="16"/>
              </w:rPr>
            </w:pPr>
            <w:r w:rsidRPr="00DE68A1">
              <w:rPr>
                <w:rFonts w:cstheme="minorHAnsi"/>
                <w:b/>
                <w:bCs/>
                <w:sz w:val="16"/>
                <w:szCs w:val="16"/>
              </w:rPr>
              <w:t>Others</w:t>
            </w:r>
          </w:p>
        </w:tc>
        <w:tc>
          <w:tcPr>
            <w:tcW w:w="709" w:type="dxa"/>
            <w:vAlign w:val="center"/>
          </w:tcPr>
          <w:p w14:paraId="420FE00E" w14:textId="6215579F" w:rsidR="00710940" w:rsidRPr="00DE68A1" w:rsidRDefault="0054709F" w:rsidP="00710940">
            <w:pPr>
              <w:bidi w:val="0"/>
              <w:jc w:val="center"/>
              <w:rPr>
                <w:rFonts w:cstheme="minorHAnsi"/>
                <w:bCs/>
                <w:sz w:val="14"/>
                <w:szCs w:val="14"/>
              </w:rPr>
            </w:pPr>
            <w:r w:rsidRPr="00DE68A1">
              <w:rPr>
                <w:rFonts w:cstheme="minorHAnsi"/>
                <w:bCs/>
                <w:sz w:val="14"/>
                <w:szCs w:val="14"/>
              </w:rPr>
              <w:t>0</w:t>
            </w:r>
          </w:p>
        </w:tc>
        <w:tc>
          <w:tcPr>
            <w:tcW w:w="567" w:type="dxa"/>
            <w:vAlign w:val="center"/>
          </w:tcPr>
          <w:p w14:paraId="76134D3A" w14:textId="67CF6393" w:rsidR="00710940" w:rsidRPr="00DE68A1" w:rsidRDefault="0054709F" w:rsidP="00710940">
            <w:pPr>
              <w:bidi w:val="0"/>
              <w:jc w:val="center"/>
              <w:rPr>
                <w:rFonts w:cstheme="minorHAnsi"/>
                <w:bCs/>
                <w:sz w:val="14"/>
                <w:szCs w:val="14"/>
              </w:rPr>
            </w:pPr>
            <w:r w:rsidRPr="00DE68A1">
              <w:rPr>
                <w:rFonts w:cstheme="minorHAnsi"/>
                <w:bCs/>
                <w:sz w:val="14"/>
                <w:szCs w:val="14"/>
              </w:rPr>
              <w:t>0</w:t>
            </w:r>
          </w:p>
        </w:tc>
        <w:tc>
          <w:tcPr>
            <w:tcW w:w="709" w:type="dxa"/>
            <w:vAlign w:val="center"/>
          </w:tcPr>
          <w:p w14:paraId="5D86A999" w14:textId="1A2BDF10" w:rsidR="00710940" w:rsidRPr="00DE68A1" w:rsidRDefault="00710940" w:rsidP="00710940">
            <w:pPr>
              <w:bidi w:val="0"/>
              <w:jc w:val="center"/>
              <w:rPr>
                <w:rFonts w:cstheme="minorHAnsi"/>
                <w:b/>
                <w:bCs/>
                <w:sz w:val="14"/>
                <w:szCs w:val="14"/>
              </w:rPr>
            </w:pPr>
            <w:r w:rsidRPr="00DE68A1">
              <w:rPr>
                <w:rFonts w:cstheme="minorHAnsi"/>
                <w:bCs/>
                <w:sz w:val="14"/>
                <w:szCs w:val="14"/>
              </w:rPr>
              <w:t>0</w:t>
            </w:r>
          </w:p>
        </w:tc>
        <w:tc>
          <w:tcPr>
            <w:tcW w:w="567" w:type="dxa"/>
            <w:vAlign w:val="center"/>
          </w:tcPr>
          <w:p w14:paraId="1225326B" w14:textId="2019286E" w:rsidR="00710940" w:rsidRPr="00DE68A1" w:rsidRDefault="00710940" w:rsidP="00710940">
            <w:pPr>
              <w:bidi w:val="0"/>
              <w:jc w:val="center"/>
              <w:rPr>
                <w:rFonts w:cstheme="minorHAnsi"/>
                <w:b/>
                <w:bCs/>
                <w:sz w:val="14"/>
                <w:szCs w:val="14"/>
              </w:rPr>
            </w:pPr>
            <w:r w:rsidRPr="00DE68A1">
              <w:rPr>
                <w:rFonts w:cstheme="minorHAnsi"/>
                <w:bCs/>
                <w:sz w:val="14"/>
                <w:szCs w:val="14"/>
              </w:rPr>
              <w:t>0</w:t>
            </w:r>
          </w:p>
        </w:tc>
        <w:tc>
          <w:tcPr>
            <w:tcW w:w="708" w:type="dxa"/>
            <w:vAlign w:val="center"/>
          </w:tcPr>
          <w:p w14:paraId="380BF290" w14:textId="0030BF9C" w:rsidR="00710940" w:rsidRPr="00DE68A1" w:rsidRDefault="0054709F" w:rsidP="00710940">
            <w:pPr>
              <w:bidi w:val="0"/>
              <w:jc w:val="center"/>
              <w:rPr>
                <w:rFonts w:cstheme="minorHAnsi"/>
                <w:bCs/>
                <w:sz w:val="14"/>
                <w:szCs w:val="14"/>
              </w:rPr>
            </w:pPr>
            <w:r w:rsidRPr="00DE68A1">
              <w:rPr>
                <w:rFonts w:cstheme="minorHAnsi"/>
                <w:bCs/>
                <w:sz w:val="14"/>
                <w:szCs w:val="14"/>
              </w:rPr>
              <w:t>0</w:t>
            </w:r>
          </w:p>
        </w:tc>
        <w:tc>
          <w:tcPr>
            <w:tcW w:w="567" w:type="dxa"/>
            <w:vAlign w:val="center"/>
          </w:tcPr>
          <w:p w14:paraId="3D6540ED" w14:textId="69336743" w:rsidR="00710940" w:rsidRPr="00DE68A1" w:rsidRDefault="0054709F" w:rsidP="00710940">
            <w:pPr>
              <w:bidi w:val="0"/>
              <w:jc w:val="center"/>
              <w:rPr>
                <w:rFonts w:cstheme="minorHAnsi"/>
                <w:bCs/>
                <w:sz w:val="14"/>
                <w:szCs w:val="14"/>
              </w:rPr>
            </w:pPr>
            <w:r w:rsidRPr="00DE68A1">
              <w:rPr>
                <w:rFonts w:cstheme="minorHAnsi"/>
                <w:bCs/>
                <w:sz w:val="14"/>
                <w:szCs w:val="14"/>
              </w:rPr>
              <w:t>0</w:t>
            </w:r>
          </w:p>
        </w:tc>
        <w:tc>
          <w:tcPr>
            <w:tcW w:w="709" w:type="dxa"/>
            <w:vAlign w:val="center"/>
          </w:tcPr>
          <w:p w14:paraId="707889EE" w14:textId="740D59E4" w:rsidR="00710940" w:rsidRPr="00DE68A1" w:rsidRDefault="00710940" w:rsidP="00710940">
            <w:pPr>
              <w:bidi w:val="0"/>
              <w:jc w:val="center"/>
              <w:rPr>
                <w:rFonts w:cstheme="minorHAnsi"/>
                <w:b/>
                <w:bCs/>
                <w:sz w:val="14"/>
                <w:szCs w:val="14"/>
              </w:rPr>
            </w:pPr>
            <w:r w:rsidRPr="00DE68A1">
              <w:rPr>
                <w:rFonts w:cstheme="minorHAnsi"/>
                <w:bCs/>
                <w:sz w:val="14"/>
                <w:szCs w:val="14"/>
              </w:rPr>
              <w:t>0</w:t>
            </w:r>
          </w:p>
        </w:tc>
        <w:tc>
          <w:tcPr>
            <w:tcW w:w="567" w:type="dxa"/>
            <w:vAlign w:val="center"/>
          </w:tcPr>
          <w:p w14:paraId="5B505463" w14:textId="3F3E8547" w:rsidR="00710940" w:rsidRPr="00DE68A1" w:rsidRDefault="00710940" w:rsidP="00710940">
            <w:pPr>
              <w:bidi w:val="0"/>
              <w:jc w:val="center"/>
              <w:rPr>
                <w:rFonts w:cstheme="minorHAnsi"/>
                <w:b/>
                <w:bCs/>
                <w:sz w:val="14"/>
                <w:szCs w:val="14"/>
              </w:rPr>
            </w:pPr>
            <w:r w:rsidRPr="00DE68A1">
              <w:rPr>
                <w:rFonts w:cstheme="minorHAnsi"/>
                <w:bCs/>
                <w:sz w:val="14"/>
                <w:szCs w:val="14"/>
              </w:rPr>
              <w:t>0</w:t>
            </w:r>
          </w:p>
        </w:tc>
        <w:tc>
          <w:tcPr>
            <w:tcW w:w="709" w:type="dxa"/>
            <w:vAlign w:val="center"/>
          </w:tcPr>
          <w:p w14:paraId="33C24D95" w14:textId="5C8BBB99" w:rsidR="00710940" w:rsidRPr="00DE68A1" w:rsidRDefault="0054709F" w:rsidP="00710940">
            <w:pPr>
              <w:bidi w:val="0"/>
              <w:jc w:val="center"/>
              <w:rPr>
                <w:rFonts w:cstheme="minorHAnsi"/>
                <w:bCs/>
                <w:sz w:val="14"/>
                <w:szCs w:val="14"/>
              </w:rPr>
            </w:pPr>
            <w:r w:rsidRPr="00DE68A1">
              <w:rPr>
                <w:rFonts w:cstheme="minorHAnsi"/>
                <w:bCs/>
                <w:sz w:val="14"/>
                <w:szCs w:val="14"/>
              </w:rPr>
              <w:t>0</w:t>
            </w:r>
          </w:p>
        </w:tc>
        <w:tc>
          <w:tcPr>
            <w:tcW w:w="709" w:type="dxa"/>
            <w:vAlign w:val="center"/>
          </w:tcPr>
          <w:p w14:paraId="6DE48B0D" w14:textId="77A8CF5E" w:rsidR="00710940" w:rsidRPr="00DE68A1" w:rsidRDefault="0054709F" w:rsidP="00710940">
            <w:pPr>
              <w:bidi w:val="0"/>
              <w:jc w:val="center"/>
              <w:rPr>
                <w:rFonts w:cstheme="minorHAnsi"/>
                <w:bCs/>
                <w:sz w:val="14"/>
                <w:szCs w:val="14"/>
              </w:rPr>
            </w:pPr>
            <w:r w:rsidRPr="00DE68A1">
              <w:rPr>
                <w:rFonts w:cstheme="minorHAnsi"/>
                <w:bCs/>
                <w:sz w:val="14"/>
                <w:szCs w:val="14"/>
              </w:rPr>
              <w:t>0</w:t>
            </w:r>
          </w:p>
        </w:tc>
        <w:tc>
          <w:tcPr>
            <w:tcW w:w="708" w:type="dxa"/>
            <w:vAlign w:val="center"/>
          </w:tcPr>
          <w:p w14:paraId="73B752FA" w14:textId="222853D8" w:rsidR="00710940" w:rsidRPr="00DE68A1" w:rsidRDefault="00710940" w:rsidP="00710940">
            <w:pPr>
              <w:bidi w:val="0"/>
              <w:jc w:val="center"/>
              <w:rPr>
                <w:rFonts w:cstheme="minorHAnsi"/>
                <w:bCs/>
                <w:sz w:val="14"/>
                <w:szCs w:val="14"/>
              </w:rPr>
            </w:pPr>
            <w:r w:rsidRPr="00DE68A1">
              <w:rPr>
                <w:rFonts w:cstheme="minorHAnsi"/>
                <w:bCs/>
                <w:sz w:val="14"/>
                <w:szCs w:val="14"/>
              </w:rPr>
              <w:t>0</w:t>
            </w:r>
          </w:p>
        </w:tc>
        <w:tc>
          <w:tcPr>
            <w:tcW w:w="585" w:type="dxa"/>
            <w:vAlign w:val="center"/>
          </w:tcPr>
          <w:p w14:paraId="5AF73854" w14:textId="00254157" w:rsidR="00710940" w:rsidRPr="00DE68A1" w:rsidRDefault="00710940" w:rsidP="00710940">
            <w:pPr>
              <w:bidi w:val="0"/>
              <w:jc w:val="center"/>
              <w:rPr>
                <w:rFonts w:cstheme="minorHAnsi"/>
                <w:bCs/>
                <w:sz w:val="14"/>
                <w:szCs w:val="14"/>
              </w:rPr>
            </w:pPr>
            <w:r w:rsidRPr="00DE68A1">
              <w:rPr>
                <w:rFonts w:cstheme="minorHAnsi"/>
                <w:bCs/>
                <w:sz w:val="14"/>
                <w:szCs w:val="14"/>
              </w:rPr>
              <w:t>0</w:t>
            </w:r>
          </w:p>
        </w:tc>
      </w:tr>
      <w:tr w:rsidR="00C85513" w:rsidRPr="00DE68A1" w14:paraId="5433A1DA" w14:textId="5938E3ED" w:rsidTr="00FC6CE4">
        <w:trPr>
          <w:trHeight w:val="397"/>
        </w:trPr>
        <w:tc>
          <w:tcPr>
            <w:tcW w:w="1134" w:type="dxa"/>
            <w:shd w:val="clear" w:color="auto" w:fill="D9D9D9" w:themeFill="background1" w:themeFillShade="D9"/>
            <w:vAlign w:val="center"/>
          </w:tcPr>
          <w:p w14:paraId="34DE9A01" w14:textId="440664C0" w:rsidR="00C85513" w:rsidRPr="00DE68A1" w:rsidRDefault="00C85513" w:rsidP="00C85513">
            <w:pPr>
              <w:bidi w:val="0"/>
              <w:rPr>
                <w:rFonts w:cstheme="minorHAnsi"/>
                <w:b/>
                <w:bCs/>
                <w:sz w:val="16"/>
                <w:szCs w:val="16"/>
              </w:rPr>
            </w:pPr>
            <w:r w:rsidRPr="00DE68A1">
              <w:rPr>
                <w:rFonts w:cstheme="minorHAnsi"/>
                <w:b/>
                <w:bCs/>
                <w:sz w:val="16"/>
                <w:szCs w:val="16"/>
              </w:rPr>
              <w:t>Grand Total</w:t>
            </w:r>
          </w:p>
        </w:tc>
        <w:tc>
          <w:tcPr>
            <w:tcW w:w="709" w:type="dxa"/>
            <w:vAlign w:val="center"/>
          </w:tcPr>
          <w:p w14:paraId="5AC6F460" w14:textId="62DF4DDE" w:rsidR="00C85513" w:rsidRPr="00DE68A1" w:rsidRDefault="00FE561F" w:rsidP="00C85513">
            <w:pPr>
              <w:bidi w:val="0"/>
              <w:jc w:val="center"/>
              <w:rPr>
                <w:rFonts w:cstheme="minorHAnsi"/>
                <w:bCs/>
                <w:sz w:val="16"/>
                <w:szCs w:val="16"/>
              </w:rPr>
            </w:pPr>
            <w:r w:rsidRPr="00DE68A1">
              <w:rPr>
                <w:rFonts w:cstheme="minorHAnsi"/>
                <w:bCs/>
                <w:sz w:val="14"/>
                <w:szCs w:val="14"/>
              </w:rPr>
              <w:t>214</w:t>
            </w:r>
            <w:r w:rsidR="00E60F9F">
              <w:rPr>
                <w:rFonts w:cstheme="minorHAnsi"/>
                <w:bCs/>
                <w:sz w:val="14"/>
                <w:szCs w:val="14"/>
              </w:rPr>
              <w:t>,</w:t>
            </w:r>
            <w:r w:rsidRPr="00DE68A1">
              <w:rPr>
                <w:rFonts w:cstheme="minorHAnsi"/>
                <w:bCs/>
                <w:sz w:val="14"/>
                <w:szCs w:val="14"/>
              </w:rPr>
              <w:t>574</w:t>
            </w:r>
          </w:p>
        </w:tc>
        <w:tc>
          <w:tcPr>
            <w:tcW w:w="567" w:type="dxa"/>
            <w:vAlign w:val="center"/>
          </w:tcPr>
          <w:p w14:paraId="1D99E2D0" w14:textId="51D2ADF9" w:rsidR="00C85513" w:rsidRPr="00DE68A1" w:rsidRDefault="00C85513" w:rsidP="00C85513">
            <w:pPr>
              <w:bidi w:val="0"/>
              <w:jc w:val="center"/>
              <w:rPr>
                <w:rFonts w:cstheme="minorHAnsi"/>
                <w:bCs/>
                <w:sz w:val="16"/>
                <w:szCs w:val="16"/>
              </w:rPr>
            </w:pPr>
            <w:r w:rsidRPr="00DE68A1">
              <w:rPr>
                <w:rFonts w:cstheme="minorHAnsi"/>
                <w:bCs/>
                <w:sz w:val="14"/>
                <w:szCs w:val="14"/>
              </w:rPr>
              <w:t>100%</w:t>
            </w:r>
          </w:p>
        </w:tc>
        <w:tc>
          <w:tcPr>
            <w:tcW w:w="709" w:type="dxa"/>
            <w:vAlign w:val="center"/>
          </w:tcPr>
          <w:p w14:paraId="339F1A88" w14:textId="1062DE1F" w:rsidR="00C85513" w:rsidRPr="00DE68A1" w:rsidRDefault="009831A4" w:rsidP="00C85513">
            <w:pPr>
              <w:bidi w:val="0"/>
              <w:jc w:val="center"/>
              <w:rPr>
                <w:rFonts w:cstheme="minorHAnsi"/>
                <w:b/>
                <w:bCs/>
                <w:sz w:val="16"/>
                <w:szCs w:val="16"/>
              </w:rPr>
            </w:pPr>
            <w:r w:rsidRPr="00DE68A1">
              <w:rPr>
                <w:rFonts w:cstheme="minorHAnsi"/>
                <w:bCs/>
                <w:sz w:val="14"/>
                <w:szCs w:val="14"/>
              </w:rPr>
              <w:t>2</w:t>
            </w:r>
            <w:r w:rsidR="00072896" w:rsidRPr="00DE68A1">
              <w:rPr>
                <w:rFonts w:cstheme="minorHAnsi"/>
                <w:bCs/>
                <w:sz w:val="14"/>
                <w:szCs w:val="14"/>
              </w:rPr>
              <w:t>18</w:t>
            </w:r>
            <w:r w:rsidRPr="00DE68A1">
              <w:rPr>
                <w:rFonts w:cstheme="minorHAnsi"/>
                <w:bCs/>
                <w:sz w:val="14"/>
                <w:szCs w:val="14"/>
              </w:rPr>
              <w:t>,</w:t>
            </w:r>
            <w:r w:rsidR="00072896" w:rsidRPr="00DE68A1">
              <w:rPr>
                <w:rFonts w:cstheme="minorHAnsi"/>
                <w:bCs/>
                <w:sz w:val="14"/>
                <w:szCs w:val="14"/>
              </w:rPr>
              <w:t>885</w:t>
            </w:r>
          </w:p>
        </w:tc>
        <w:tc>
          <w:tcPr>
            <w:tcW w:w="567" w:type="dxa"/>
            <w:vAlign w:val="center"/>
          </w:tcPr>
          <w:p w14:paraId="79C9AC7E" w14:textId="76B5FF9A" w:rsidR="00C85513" w:rsidRPr="00DE68A1" w:rsidRDefault="00C85513" w:rsidP="00C85513">
            <w:pPr>
              <w:bidi w:val="0"/>
              <w:jc w:val="center"/>
              <w:rPr>
                <w:rFonts w:cstheme="minorHAnsi"/>
                <w:b/>
                <w:bCs/>
                <w:sz w:val="16"/>
                <w:szCs w:val="16"/>
              </w:rPr>
            </w:pPr>
            <w:r w:rsidRPr="00DE68A1">
              <w:rPr>
                <w:rFonts w:cstheme="minorHAnsi"/>
                <w:bCs/>
                <w:sz w:val="14"/>
                <w:szCs w:val="14"/>
              </w:rPr>
              <w:t>100%</w:t>
            </w:r>
          </w:p>
        </w:tc>
        <w:tc>
          <w:tcPr>
            <w:tcW w:w="708" w:type="dxa"/>
            <w:vAlign w:val="center"/>
          </w:tcPr>
          <w:p w14:paraId="48EB5CDA" w14:textId="44C2D999" w:rsidR="00C85513" w:rsidRPr="00DE68A1" w:rsidRDefault="00FE561F" w:rsidP="00C85513">
            <w:pPr>
              <w:bidi w:val="0"/>
              <w:jc w:val="center"/>
              <w:rPr>
                <w:rFonts w:cstheme="minorHAnsi"/>
                <w:bCs/>
                <w:sz w:val="16"/>
                <w:szCs w:val="16"/>
              </w:rPr>
            </w:pPr>
            <w:r w:rsidRPr="00DE68A1">
              <w:rPr>
                <w:rFonts w:cstheme="minorHAnsi"/>
                <w:bCs/>
                <w:sz w:val="14"/>
                <w:szCs w:val="14"/>
              </w:rPr>
              <w:t>154</w:t>
            </w:r>
            <w:r w:rsidR="00E60F9F">
              <w:rPr>
                <w:rFonts w:cstheme="minorHAnsi"/>
                <w:bCs/>
                <w:sz w:val="14"/>
                <w:szCs w:val="14"/>
              </w:rPr>
              <w:t>,</w:t>
            </w:r>
            <w:r w:rsidRPr="00DE68A1">
              <w:rPr>
                <w:rFonts w:cstheme="minorHAnsi"/>
                <w:bCs/>
                <w:sz w:val="14"/>
                <w:szCs w:val="14"/>
              </w:rPr>
              <w:t>343</w:t>
            </w:r>
          </w:p>
        </w:tc>
        <w:tc>
          <w:tcPr>
            <w:tcW w:w="567" w:type="dxa"/>
            <w:vAlign w:val="center"/>
          </w:tcPr>
          <w:p w14:paraId="0855F370" w14:textId="618557DC" w:rsidR="00C85513" w:rsidRPr="00DE68A1" w:rsidRDefault="00C85513" w:rsidP="00C85513">
            <w:pPr>
              <w:bidi w:val="0"/>
              <w:jc w:val="center"/>
              <w:rPr>
                <w:rFonts w:cstheme="minorHAnsi"/>
                <w:bCs/>
                <w:sz w:val="16"/>
                <w:szCs w:val="16"/>
              </w:rPr>
            </w:pPr>
            <w:r w:rsidRPr="00DE68A1">
              <w:rPr>
                <w:rFonts w:cstheme="minorHAnsi"/>
                <w:bCs/>
                <w:sz w:val="14"/>
                <w:szCs w:val="14"/>
              </w:rPr>
              <w:t>100%</w:t>
            </w:r>
          </w:p>
        </w:tc>
        <w:tc>
          <w:tcPr>
            <w:tcW w:w="709" w:type="dxa"/>
            <w:vAlign w:val="center"/>
          </w:tcPr>
          <w:p w14:paraId="6468B3CD" w14:textId="4009ACB4" w:rsidR="00C85513" w:rsidRPr="00DE68A1" w:rsidRDefault="00072896" w:rsidP="00C85513">
            <w:pPr>
              <w:bidi w:val="0"/>
              <w:jc w:val="center"/>
              <w:rPr>
                <w:rFonts w:cstheme="minorHAnsi"/>
                <w:b/>
                <w:bCs/>
                <w:sz w:val="16"/>
                <w:szCs w:val="16"/>
              </w:rPr>
            </w:pPr>
            <w:r w:rsidRPr="00DE68A1">
              <w:rPr>
                <w:rFonts w:cstheme="minorHAnsi"/>
                <w:bCs/>
                <w:sz w:val="14"/>
                <w:szCs w:val="14"/>
              </w:rPr>
              <w:t>150,115</w:t>
            </w:r>
          </w:p>
        </w:tc>
        <w:tc>
          <w:tcPr>
            <w:tcW w:w="567" w:type="dxa"/>
            <w:vAlign w:val="center"/>
          </w:tcPr>
          <w:p w14:paraId="1FC6AE72" w14:textId="6A3C931D" w:rsidR="00C85513" w:rsidRPr="00DE68A1" w:rsidRDefault="00C85513" w:rsidP="00C85513">
            <w:pPr>
              <w:bidi w:val="0"/>
              <w:jc w:val="center"/>
              <w:rPr>
                <w:rFonts w:cstheme="minorHAnsi"/>
                <w:b/>
                <w:bCs/>
                <w:sz w:val="16"/>
                <w:szCs w:val="16"/>
              </w:rPr>
            </w:pPr>
            <w:r w:rsidRPr="00DE68A1">
              <w:rPr>
                <w:rFonts w:cstheme="minorHAnsi"/>
                <w:bCs/>
                <w:sz w:val="14"/>
                <w:szCs w:val="14"/>
              </w:rPr>
              <w:t>100%</w:t>
            </w:r>
          </w:p>
        </w:tc>
        <w:tc>
          <w:tcPr>
            <w:tcW w:w="709" w:type="dxa"/>
            <w:vAlign w:val="center"/>
          </w:tcPr>
          <w:p w14:paraId="241EFF44" w14:textId="04986FC1" w:rsidR="00C85513" w:rsidRPr="00DE68A1" w:rsidRDefault="00FE561F" w:rsidP="00C85513">
            <w:pPr>
              <w:bidi w:val="0"/>
              <w:jc w:val="center"/>
              <w:rPr>
                <w:rFonts w:cstheme="minorHAnsi"/>
                <w:bCs/>
                <w:sz w:val="16"/>
                <w:szCs w:val="16"/>
              </w:rPr>
            </w:pPr>
            <w:r w:rsidRPr="00DE68A1">
              <w:rPr>
                <w:rFonts w:cstheme="minorHAnsi"/>
                <w:bCs/>
                <w:sz w:val="14"/>
                <w:szCs w:val="14"/>
              </w:rPr>
              <w:t>368</w:t>
            </w:r>
            <w:r w:rsidR="00E60F9F">
              <w:rPr>
                <w:rFonts w:cstheme="minorHAnsi"/>
                <w:bCs/>
                <w:sz w:val="14"/>
                <w:szCs w:val="14"/>
              </w:rPr>
              <w:t>,</w:t>
            </w:r>
            <w:r w:rsidRPr="00DE68A1">
              <w:rPr>
                <w:rFonts w:cstheme="minorHAnsi"/>
                <w:bCs/>
                <w:sz w:val="14"/>
                <w:szCs w:val="14"/>
              </w:rPr>
              <w:t>917</w:t>
            </w:r>
          </w:p>
        </w:tc>
        <w:tc>
          <w:tcPr>
            <w:tcW w:w="709" w:type="dxa"/>
            <w:vAlign w:val="center"/>
          </w:tcPr>
          <w:p w14:paraId="768CED23" w14:textId="4F181A1B" w:rsidR="00C85513" w:rsidRPr="00DE68A1" w:rsidRDefault="00C85513" w:rsidP="00C85513">
            <w:pPr>
              <w:bidi w:val="0"/>
              <w:jc w:val="center"/>
              <w:rPr>
                <w:rFonts w:cstheme="minorHAnsi"/>
                <w:bCs/>
                <w:sz w:val="16"/>
                <w:szCs w:val="16"/>
              </w:rPr>
            </w:pPr>
            <w:r w:rsidRPr="00DE68A1">
              <w:rPr>
                <w:rFonts w:cstheme="minorHAnsi"/>
                <w:bCs/>
                <w:sz w:val="14"/>
                <w:szCs w:val="14"/>
              </w:rPr>
              <w:t>100%</w:t>
            </w:r>
          </w:p>
        </w:tc>
        <w:tc>
          <w:tcPr>
            <w:tcW w:w="708" w:type="dxa"/>
            <w:vAlign w:val="center"/>
          </w:tcPr>
          <w:p w14:paraId="17724317" w14:textId="6502A696" w:rsidR="00C85513" w:rsidRPr="00DE68A1" w:rsidRDefault="00072896" w:rsidP="00C85513">
            <w:pPr>
              <w:bidi w:val="0"/>
              <w:jc w:val="center"/>
              <w:rPr>
                <w:rFonts w:cstheme="minorHAnsi"/>
                <w:bCs/>
                <w:sz w:val="16"/>
                <w:szCs w:val="16"/>
              </w:rPr>
            </w:pPr>
            <w:r w:rsidRPr="00DE68A1">
              <w:rPr>
                <w:rFonts w:cstheme="minorHAnsi"/>
                <w:bCs/>
                <w:sz w:val="14"/>
                <w:szCs w:val="14"/>
              </w:rPr>
              <w:t>369,000</w:t>
            </w:r>
          </w:p>
        </w:tc>
        <w:tc>
          <w:tcPr>
            <w:tcW w:w="585" w:type="dxa"/>
            <w:vAlign w:val="center"/>
          </w:tcPr>
          <w:p w14:paraId="15848813" w14:textId="1BA20A63" w:rsidR="00C85513" w:rsidRPr="00DE68A1" w:rsidRDefault="00C85513" w:rsidP="00C85513">
            <w:pPr>
              <w:bidi w:val="0"/>
              <w:jc w:val="center"/>
              <w:rPr>
                <w:rFonts w:cstheme="minorHAnsi"/>
                <w:bCs/>
                <w:sz w:val="16"/>
                <w:szCs w:val="16"/>
              </w:rPr>
            </w:pPr>
            <w:r w:rsidRPr="00DE68A1">
              <w:rPr>
                <w:rFonts w:cstheme="minorHAnsi"/>
                <w:bCs/>
                <w:sz w:val="14"/>
                <w:szCs w:val="14"/>
              </w:rPr>
              <w:t>100%</w:t>
            </w:r>
          </w:p>
        </w:tc>
      </w:tr>
    </w:tbl>
    <w:p w14:paraId="76EB44F7" w14:textId="1386ADC2" w:rsidR="00E44F29" w:rsidRPr="00DE68A1" w:rsidRDefault="00E44F29" w:rsidP="00E44F29">
      <w:pPr>
        <w:bidi w:val="0"/>
        <w:rPr>
          <w:b/>
          <w:bCs/>
        </w:rPr>
      </w:pPr>
    </w:p>
    <w:p w14:paraId="02932F1C" w14:textId="5DA7DE62" w:rsidR="00E01899" w:rsidRPr="00DE68A1" w:rsidRDefault="00B07F25" w:rsidP="009915BA">
      <w:pPr>
        <w:bidi w:val="0"/>
        <w:ind w:left="284" w:right="239"/>
        <w:jc w:val="lowKashida"/>
        <w:rPr>
          <w:b/>
        </w:rPr>
      </w:pPr>
      <w:r w:rsidRPr="00DE68A1">
        <w:rPr>
          <w:b/>
        </w:rPr>
        <w:lastRenderedPageBreak/>
        <w:t>Residual Maturity of the Loans and Advances Portfolio</w:t>
      </w:r>
      <w:r w:rsidR="00466C57" w:rsidRPr="00DE68A1">
        <w:rPr>
          <w:b/>
        </w:rPr>
        <w:t xml:space="preserve"> as on 31</w:t>
      </w:r>
      <w:r w:rsidR="00466C57" w:rsidRPr="00DE68A1">
        <w:rPr>
          <w:b/>
          <w:vertAlign w:val="superscript"/>
        </w:rPr>
        <w:t>st</w:t>
      </w:r>
      <w:r w:rsidR="00466C57" w:rsidRPr="00DE68A1">
        <w:rPr>
          <w:b/>
        </w:rPr>
        <w:t xml:space="preserve"> December </w:t>
      </w:r>
      <w:r w:rsidR="00E01875" w:rsidRPr="00DE68A1">
        <w:rPr>
          <w:b/>
        </w:rPr>
        <w:t>202</w:t>
      </w:r>
      <w:r w:rsidR="009B3450" w:rsidRPr="00DE68A1">
        <w:rPr>
          <w:b/>
        </w:rPr>
        <w:t>5</w:t>
      </w:r>
      <w:r w:rsidR="009954AB" w:rsidRPr="00DE68A1">
        <w:rPr>
          <w:b/>
        </w:rPr>
        <w:t xml:space="preserve"> (</w:t>
      </w:r>
      <w:r w:rsidR="00CD18D4" w:rsidRPr="00DE68A1">
        <w:rPr>
          <w:b/>
        </w:rPr>
        <w:t>All f</w:t>
      </w:r>
      <w:r w:rsidR="00E01899" w:rsidRPr="00DE68A1">
        <w:rPr>
          <w:b/>
        </w:rPr>
        <w:t>igures in</w:t>
      </w:r>
      <w:r w:rsidR="00CD18D4" w:rsidRPr="00DE68A1">
        <w:rPr>
          <w:b/>
        </w:rPr>
        <w:t xml:space="preserve"> KD</w:t>
      </w:r>
      <w:r w:rsidR="00E01899" w:rsidRPr="00DE68A1">
        <w:rPr>
          <w:b/>
        </w:rPr>
        <w:t>’000)</w:t>
      </w:r>
    </w:p>
    <w:p w14:paraId="56F024FA" w14:textId="77777777" w:rsidR="00231274" w:rsidRPr="00DE68A1" w:rsidRDefault="00231274" w:rsidP="00231274">
      <w:pPr>
        <w:bidi w:val="0"/>
        <w:rPr>
          <w:b/>
          <w:bCs/>
          <w:sz w:val="20"/>
          <w:szCs w:val="20"/>
        </w:rPr>
      </w:pPr>
    </w:p>
    <w:tbl>
      <w:tblPr>
        <w:tblW w:w="4874" w:type="pct"/>
        <w:tblInd w:w="137" w:type="dxa"/>
        <w:tblLook w:val="04A0" w:firstRow="1" w:lastRow="0" w:firstColumn="1" w:lastColumn="0" w:noHBand="0" w:noVBand="1"/>
      </w:tblPr>
      <w:tblGrid>
        <w:gridCol w:w="1135"/>
        <w:gridCol w:w="1650"/>
        <w:gridCol w:w="1055"/>
        <w:gridCol w:w="1514"/>
        <w:gridCol w:w="1057"/>
        <w:gridCol w:w="1564"/>
        <w:gridCol w:w="954"/>
      </w:tblGrid>
      <w:tr w:rsidR="007D5D50" w:rsidRPr="00DE68A1" w14:paraId="48E7F151" w14:textId="77777777" w:rsidTr="00FE67B3">
        <w:trPr>
          <w:trHeight w:val="327"/>
        </w:trPr>
        <w:tc>
          <w:tcPr>
            <w:tcW w:w="635" w:type="pct"/>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7015757" w14:textId="460DD373" w:rsidR="00430629" w:rsidRPr="00DE68A1" w:rsidRDefault="00B758D5" w:rsidP="0031506E">
            <w:pPr>
              <w:bidi w:val="0"/>
              <w:rPr>
                <w:rFonts w:asciiTheme="minorHAnsi" w:hAnsiTheme="minorHAnsi" w:cstheme="minorHAnsi"/>
                <w:b/>
                <w:bCs/>
                <w:color w:val="000000" w:themeColor="text1"/>
                <w:sz w:val="18"/>
                <w:szCs w:val="18"/>
              </w:rPr>
            </w:pPr>
            <w:r w:rsidRPr="00DE68A1">
              <w:rPr>
                <w:rFonts w:asciiTheme="minorHAnsi" w:hAnsiTheme="minorHAnsi" w:cstheme="minorHAnsi"/>
                <w:b/>
                <w:bCs/>
                <w:color w:val="000000" w:themeColor="text1"/>
                <w:sz w:val="18"/>
                <w:szCs w:val="18"/>
              </w:rPr>
              <w:t>Category</w:t>
            </w:r>
          </w:p>
        </w:tc>
        <w:tc>
          <w:tcPr>
            <w:tcW w:w="151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54BA89" w14:textId="7CE73289" w:rsidR="00430629" w:rsidRPr="00DE68A1" w:rsidRDefault="00A05B38" w:rsidP="006D6ACF">
            <w:pPr>
              <w:bidi w:val="0"/>
              <w:jc w:val="center"/>
              <w:rPr>
                <w:rFonts w:asciiTheme="minorHAnsi" w:hAnsiTheme="minorHAnsi" w:cstheme="minorHAnsi"/>
                <w:b/>
                <w:bCs/>
                <w:sz w:val="18"/>
                <w:szCs w:val="18"/>
              </w:rPr>
            </w:pPr>
            <w:r w:rsidRPr="00DE68A1">
              <w:rPr>
                <w:rFonts w:asciiTheme="minorHAnsi" w:hAnsiTheme="minorHAnsi" w:cstheme="minorHAnsi"/>
                <w:b/>
                <w:bCs/>
                <w:sz w:val="18"/>
                <w:szCs w:val="18"/>
              </w:rPr>
              <w:t>Loans &amp; Advances at Commercial rate</w:t>
            </w:r>
            <w:r w:rsidR="00B54A83" w:rsidRPr="00DE68A1">
              <w:rPr>
                <w:rFonts w:asciiTheme="minorHAnsi" w:hAnsiTheme="minorHAnsi" w:cstheme="minorHAnsi"/>
                <w:b/>
                <w:bCs/>
                <w:sz w:val="18"/>
                <w:szCs w:val="18"/>
              </w:rPr>
              <w:t>s</w:t>
            </w:r>
          </w:p>
        </w:tc>
        <w:tc>
          <w:tcPr>
            <w:tcW w:w="144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A3FBFB" w14:textId="77777777" w:rsidR="00B758D5" w:rsidRPr="00DE68A1" w:rsidRDefault="00430629" w:rsidP="006D6ACF">
            <w:pPr>
              <w:bidi w:val="0"/>
              <w:jc w:val="center"/>
              <w:rPr>
                <w:rFonts w:asciiTheme="minorHAnsi" w:hAnsiTheme="minorHAnsi" w:cstheme="minorHAnsi"/>
                <w:b/>
                <w:bCs/>
                <w:sz w:val="18"/>
                <w:szCs w:val="18"/>
              </w:rPr>
            </w:pPr>
            <w:r w:rsidRPr="00DE68A1">
              <w:rPr>
                <w:rFonts w:asciiTheme="minorHAnsi" w:hAnsiTheme="minorHAnsi" w:cstheme="minorHAnsi"/>
                <w:b/>
                <w:bCs/>
                <w:sz w:val="18"/>
                <w:szCs w:val="18"/>
              </w:rPr>
              <w:t xml:space="preserve">Industrial Loan at </w:t>
            </w:r>
          </w:p>
          <w:p w14:paraId="616E2EBD" w14:textId="3CDA1D54" w:rsidR="00430629" w:rsidRPr="00DE68A1" w:rsidRDefault="00430629" w:rsidP="00B758D5">
            <w:pPr>
              <w:bidi w:val="0"/>
              <w:jc w:val="center"/>
              <w:rPr>
                <w:rFonts w:asciiTheme="minorHAnsi" w:hAnsiTheme="minorHAnsi" w:cstheme="minorHAnsi"/>
                <w:b/>
                <w:bCs/>
                <w:sz w:val="18"/>
                <w:szCs w:val="18"/>
              </w:rPr>
            </w:pPr>
            <w:r w:rsidRPr="00DE68A1">
              <w:rPr>
                <w:rFonts w:asciiTheme="minorHAnsi" w:hAnsiTheme="minorHAnsi" w:cstheme="minorHAnsi"/>
                <w:b/>
                <w:bCs/>
                <w:sz w:val="18"/>
                <w:szCs w:val="18"/>
              </w:rPr>
              <w:t>encouraged rates</w:t>
            </w:r>
          </w:p>
        </w:tc>
        <w:tc>
          <w:tcPr>
            <w:tcW w:w="141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1D8E46" w14:textId="4C8AB3D8" w:rsidR="00A05B38" w:rsidRPr="00DE68A1" w:rsidRDefault="00A05B38" w:rsidP="00A05B38">
            <w:pPr>
              <w:bidi w:val="0"/>
              <w:jc w:val="center"/>
              <w:rPr>
                <w:rFonts w:asciiTheme="minorHAnsi" w:hAnsiTheme="minorHAnsi" w:cstheme="minorHAnsi"/>
                <w:b/>
                <w:bCs/>
                <w:sz w:val="18"/>
                <w:szCs w:val="18"/>
              </w:rPr>
            </w:pPr>
            <w:r w:rsidRPr="00DE68A1">
              <w:rPr>
                <w:rFonts w:asciiTheme="minorHAnsi" w:hAnsiTheme="minorHAnsi" w:cstheme="minorHAnsi"/>
                <w:b/>
                <w:bCs/>
                <w:sz w:val="18"/>
                <w:szCs w:val="18"/>
              </w:rPr>
              <w:t>Total Portfolio</w:t>
            </w:r>
          </w:p>
        </w:tc>
      </w:tr>
      <w:tr w:rsidR="007D5D50" w:rsidRPr="00DE68A1" w14:paraId="043CACD9" w14:textId="77777777" w:rsidTr="00FE67B3">
        <w:trPr>
          <w:trHeight w:val="228"/>
        </w:trPr>
        <w:tc>
          <w:tcPr>
            <w:tcW w:w="635" w:type="pct"/>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05217AC2" w14:textId="77777777" w:rsidR="00780CAA" w:rsidRPr="00DE68A1" w:rsidRDefault="00780CAA" w:rsidP="00780CAA">
            <w:pPr>
              <w:bidi w:val="0"/>
              <w:jc w:val="center"/>
              <w:rPr>
                <w:rFonts w:asciiTheme="minorHAnsi" w:hAnsiTheme="minorHAnsi" w:cstheme="minorHAnsi"/>
                <w:b/>
                <w:bCs/>
                <w:i/>
                <w:iCs/>
                <w:color w:val="000000" w:themeColor="text1"/>
                <w:sz w:val="18"/>
                <w:szCs w:val="18"/>
              </w:rPr>
            </w:pPr>
          </w:p>
        </w:tc>
        <w:tc>
          <w:tcPr>
            <w:tcW w:w="92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6F1F25" w14:textId="64227087" w:rsidR="00780CAA" w:rsidRPr="00DE68A1" w:rsidRDefault="00780CAA" w:rsidP="004F7C70">
            <w:pPr>
              <w:bidi w:val="0"/>
              <w:jc w:val="center"/>
              <w:rPr>
                <w:rFonts w:asciiTheme="minorHAnsi" w:hAnsiTheme="minorHAnsi" w:cstheme="minorHAnsi"/>
                <w:b/>
                <w:bCs/>
                <w:sz w:val="18"/>
                <w:szCs w:val="18"/>
              </w:rPr>
            </w:pPr>
            <w:r w:rsidRPr="00DE68A1">
              <w:rPr>
                <w:rFonts w:asciiTheme="minorHAnsi" w:hAnsiTheme="minorHAnsi" w:cstheme="minorHAnsi"/>
                <w:b/>
                <w:bCs/>
                <w:color w:val="000000" w:themeColor="text1"/>
                <w:sz w:val="18"/>
                <w:szCs w:val="18"/>
              </w:rPr>
              <w:t xml:space="preserve">Dec </w:t>
            </w:r>
            <w:r w:rsidR="00E01875" w:rsidRPr="00DE68A1">
              <w:rPr>
                <w:rFonts w:asciiTheme="minorHAnsi" w:hAnsiTheme="minorHAnsi" w:cstheme="minorHAnsi"/>
                <w:b/>
                <w:bCs/>
                <w:color w:val="000000" w:themeColor="text1"/>
                <w:sz w:val="18"/>
                <w:szCs w:val="18"/>
              </w:rPr>
              <w:t>202</w:t>
            </w:r>
            <w:r w:rsidR="00072896" w:rsidRPr="00DE68A1">
              <w:rPr>
                <w:rFonts w:asciiTheme="minorHAnsi" w:hAnsiTheme="minorHAnsi" w:cstheme="minorHAnsi"/>
                <w:b/>
                <w:bCs/>
                <w:color w:val="000000" w:themeColor="text1"/>
                <w:sz w:val="18"/>
                <w:szCs w:val="18"/>
              </w:rPr>
              <w:t>5</w:t>
            </w:r>
          </w:p>
        </w:tc>
        <w:tc>
          <w:tcPr>
            <w:tcW w:w="5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0AB0E5" w14:textId="5DF92CC7" w:rsidR="00780CAA" w:rsidRPr="00DE68A1" w:rsidRDefault="00780CAA" w:rsidP="004F7C70">
            <w:pPr>
              <w:bidi w:val="0"/>
              <w:jc w:val="center"/>
              <w:rPr>
                <w:rFonts w:asciiTheme="minorHAnsi" w:hAnsiTheme="minorHAnsi" w:cstheme="minorHAnsi"/>
                <w:b/>
                <w:bCs/>
                <w:sz w:val="18"/>
                <w:szCs w:val="18"/>
              </w:rPr>
            </w:pPr>
            <w:r w:rsidRPr="00DE68A1">
              <w:rPr>
                <w:rFonts w:asciiTheme="minorHAnsi" w:hAnsiTheme="minorHAnsi" w:cstheme="minorHAnsi"/>
                <w:b/>
                <w:bCs/>
                <w:color w:val="000000" w:themeColor="text1"/>
                <w:sz w:val="18"/>
                <w:szCs w:val="18"/>
              </w:rPr>
              <w:t xml:space="preserve">Dec </w:t>
            </w:r>
            <w:r w:rsidR="009831A4" w:rsidRPr="00DE68A1">
              <w:rPr>
                <w:rFonts w:asciiTheme="minorHAnsi" w:hAnsiTheme="minorHAnsi" w:cstheme="minorHAnsi"/>
                <w:b/>
                <w:bCs/>
                <w:color w:val="000000" w:themeColor="text1"/>
                <w:sz w:val="18"/>
                <w:szCs w:val="18"/>
              </w:rPr>
              <w:t>202</w:t>
            </w:r>
            <w:r w:rsidR="00072896" w:rsidRPr="00DE68A1">
              <w:rPr>
                <w:rFonts w:asciiTheme="minorHAnsi" w:hAnsiTheme="minorHAnsi" w:cstheme="minorHAnsi"/>
                <w:b/>
                <w:bCs/>
                <w:color w:val="000000" w:themeColor="text1"/>
                <w:sz w:val="18"/>
                <w:szCs w:val="18"/>
              </w:rPr>
              <w:t>4</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31351C" w14:textId="29E2FD7D" w:rsidR="00780CAA" w:rsidRPr="00DE68A1" w:rsidRDefault="00780CAA" w:rsidP="004F7C70">
            <w:pPr>
              <w:bidi w:val="0"/>
              <w:jc w:val="center"/>
              <w:rPr>
                <w:rFonts w:asciiTheme="minorHAnsi" w:hAnsiTheme="minorHAnsi" w:cstheme="minorHAnsi"/>
                <w:b/>
                <w:bCs/>
                <w:sz w:val="18"/>
                <w:szCs w:val="18"/>
              </w:rPr>
            </w:pPr>
            <w:r w:rsidRPr="00DE68A1">
              <w:rPr>
                <w:rFonts w:asciiTheme="minorHAnsi" w:hAnsiTheme="minorHAnsi" w:cstheme="minorHAnsi"/>
                <w:b/>
                <w:bCs/>
                <w:color w:val="000000" w:themeColor="text1"/>
                <w:sz w:val="18"/>
                <w:szCs w:val="18"/>
              </w:rPr>
              <w:t xml:space="preserve">Dec </w:t>
            </w:r>
            <w:r w:rsidR="00E01875" w:rsidRPr="00DE68A1">
              <w:rPr>
                <w:rFonts w:asciiTheme="minorHAnsi" w:hAnsiTheme="minorHAnsi" w:cstheme="minorHAnsi"/>
                <w:b/>
                <w:bCs/>
                <w:color w:val="000000" w:themeColor="text1"/>
                <w:sz w:val="18"/>
                <w:szCs w:val="18"/>
              </w:rPr>
              <w:t>202</w:t>
            </w:r>
            <w:r w:rsidR="00072896" w:rsidRPr="00DE68A1">
              <w:rPr>
                <w:rFonts w:asciiTheme="minorHAnsi" w:hAnsiTheme="minorHAnsi" w:cstheme="minorHAnsi"/>
                <w:b/>
                <w:bCs/>
                <w:color w:val="000000" w:themeColor="text1"/>
                <w:sz w:val="18"/>
                <w:szCs w:val="18"/>
              </w:rPr>
              <w:t>5</w:t>
            </w:r>
          </w:p>
        </w:tc>
        <w:tc>
          <w:tcPr>
            <w:tcW w:w="5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CF26A6" w14:textId="5CBB5C71" w:rsidR="00780CAA" w:rsidRPr="00DE68A1" w:rsidRDefault="00780CAA" w:rsidP="004F7C70">
            <w:pPr>
              <w:bidi w:val="0"/>
              <w:jc w:val="center"/>
              <w:rPr>
                <w:rFonts w:asciiTheme="minorHAnsi" w:hAnsiTheme="minorHAnsi" w:cstheme="minorHAnsi"/>
                <w:b/>
                <w:bCs/>
                <w:sz w:val="18"/>
                <w:szCs w:val="18"/>
              </w:rPr>
            </w:pPr>
            <w:r w:rsidRPr="00DE68A1">
              <w:rPr>
                <w:rFonts w:asciiTheme="minorHAnsi" w:hAnsiTheme="minorHAnsi" w:cstheme="minorHAnsi"/>
                <w:b/>
                <w:bCs/>
                <w:color w:val="000000" w:themeColor="text1"/>
                <w:sz w:val="18"/>
                <w:szCs w:val="18"/>
              </w:rPr>
              <w:t xml:space="preserve">Dec </w:t>
            </w:r>
            <w:r w:rsidR="009831A4" w:rsidRPr="00DE68A1">
              <w:rPr>
                <w:rFonts w:asciiTheme="minorHAnsi" w:hAnsiTheme="minorHAnsi" w:cstheme="minorHAnsi"/>
                <w:b/>
                <w:bCs/>
                <w:color w:val="000000" w:themeColor="text1"/>
                <w:sz w:val="18"/>
                <w:szCs w:val="18"/>
              </w:rPr>
              <w:t>202</w:t>
            </w:r>
            <w:r w:rsidR="00072896" w:rsidRPr="00DE68A1">
              <w:rPr>
                <w:rFonts w:asciiTheme="minorHAnsi" w:hAnsiTheme="minorHAnsi" w:cstheme="minorHAnsi"/>
                <w:b/>
                <w:bCs/>
                <w:color w:val="000000" w:themeColor="text1"/>
                <w:sz w:val="18"/>
                <w:szCs w:val="18"/>
              </w:rPr>
              <w:t>4</w:t>
            </w:r>
          </w:p>
        </w:tc>
        <w:tc>
          <w:tcPr>
            <w:tcW w:w="8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0A7FFA" w14:textId="40FA1A38" w:rsidR="00780CAA" w:rsidRPr="00DE68A1" w:rsidRDefault="00780CAA" w:rsidP="004F7C70">
            <w:pPr>
              <w:bidi w:val="0"/>
              <w:jc w:val="center"/>
              <w:rPr>
                <w:rFonts w:asciiTheme="minorHAnsi" w:hAnsiTheme="minorHAnsi" w:cstheme="minorHAnsi"/>
                <w:b/>
                <w:bCs/>
                <w:sz w:val="18"/>
                <w:szCs w:val="18"/>
              </w:rPr>
            </w:pPr>
            <w:r w:rsidRPr="00DE68A1">
              <w:rPr>
                <w:rFonts w:asciiTheme="minorHAnsi" w:hAnsiTheme="minorHAnsi" w:cstheme="minorHAnsi"/>
                <w:b/>
                <w:bCs/>
                <w:color w:val="000000" w:themeColor="text1"/>
                <w:sz w:val="18"/>
                <w:szCs w:val="18"/>
              </w:rPr>
              <w:t xml:space="preserve">Dec </w:t>
            </w:r>
            <w:r w:rsidR="00E01875" w:rsidRPr="00DE68A1">
              <w:rPr>
                <w:rFonts w:asciiTheme="minorHAnsi" w:hAnsiTheme="minorHAnsi" w:cstheme="minorHAnsi"/>
                <w:b/>
                <w:bCs/>
                <w:color w:val="000000" w:themeColor="text1"/>
                <w:sz w:val="18"/>
                <w:szCs w:val="18"/>
              </w:rPr>
              <w:t>202</w:t>
            </w:r>
            <w:r w:rsidR="00072896" w:rsidRPr="00DE68A1">
              <w:rPr>
                <w:rFonts w:asciiTheme="minorHAnsi" w:hAnsiTheme="minorHAnsi" w:cstheme="minorHAnsi"/>
                <w:b/>
                <w:bCs/>
                <w:color w:val="000000" w:themeColor="text1"/>
                <w:sz w:val="18"/>
                <w:szCs w:val="18"/>
              </w:rPr>
              <w:t>5</w:t>
            </w:r>
          </w:p>
        </w:tc>
        <w:tc>
          <w:tcPr>
            <w:tcW w:w="5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DC7335" w14:textId="2B526B7A" w:rsidR="00780CAA" w:rsidRPr="00DE68A1" w:rsidRDefault="00780CAA" w:rsidP="004F7C70">
            <w:pPr>
              <w:bidi w:val="0"/>
              <w:jc w:val="center"/>
              <w:rPr>
                <w:rFonts w:asciiTheme="minorHAnsi" w:hAnsiTheme="minorHAnsi" w:cstheme="minorHAnsi"/>
                <w:b/>
                <w:bCs/>
                <w:sz w:val="18"/>
                <w:szCs w:val="18"/>
              </w:rPr>
            </w:pPr>
            <w:r w:rsidRPr="00DE68A1">
              <w:rPr>
                <w:rFonts w:asciiTheme="minorHAnsi" w:hAnsiTheme="minorHAnsi" w:cstheme="minorHAnsi"/>
                <w:b/>
                <w:bCs/>
                <w:color w:val="000000" w:themeColor="text1"/>
                <w:sz w:val="18"/>
                <w:szCs w:val="18"/>
              </w:rPr>
              <w:t xml:space="preserve">Dec </w:t>
            </w:r>
            <w:r w:rsidR="009831A4" w:rsidRPr="00DE68A1">
              <w:rPr>
                <w:rFonts w:asciiTheme="minorHAnsi" w:hAnsiTheme="minorHAnsi" w:cstheme="minorHAnsi"/>
                <w:b/>
                <w:bCs/>
                <w:color w:val="000000" w:themeColor="text1"/>
                <w:sz w:val="18"/>
                <w:szCs w:val="18"/>
              </w:rPr>
              <w:t>202</w:t>
            </w:r>
            <w:r w:rsidR="00072896" w:rsidRPr="00DE68A1">
              <w:rPr>
                <w:rFonts w:asciiTheme="minorHAnsi" w:hAnsiTheme="minorHAnsi" w:cstheme="minorHAnsi"/>
                <w:b/>
                <w:bCs/>
                <w:color w:val="000000" w:themeColor="text1"/>
                <w:sz w:val="18"/>
                <w:szCs w:val="18"/>
              </w:rPr>
              <w:t>4</w:t>
            </w:r>
          </w:p>
        </w:tc>
      </w:tr>
      <w:tr w:rsidR="00035872" w:rsidRPr="00DE68A1" w14:paraId="5F4B5B6B" w14:textId="77777777" w:rsidTr="00FE67B3">
        <w:trPr>
          <w:trHeight w:val="182"/>
        </w:trPr>
        <w:tc>
          <w:tcPr>
            <w:tcW w:w="635" w:type="pct"/>
            <w:tcBorders>
              <w:top w:val="single" w:sz="4" w:space="0" w:color="auto"/>
              <w:left w:val="single" w:sz="4" w:space="0" w:color="000000"/>
              <w:bottom w:val="single" w:sz="4" w:space="0" w:color="000000"/>
              <w:right w:val="single" w:sz="4" w:space="0" w:color="auto"/>
            </w:tcBorders>
            <w:shd w:val="clear" w:color="auto" w:fill="D9D9D9" w:themeFill="background1" w:themeFillShade="D9"/>
            <w:vAlign w:val="center"/>
            <w:hideMark/>
          </w:tcPr>
          <w:p w14:paraId="26BFA639" w14:textId="77777777" w:rsidR="00035872" w:rsidRPr="00DE68A1" w:rsidRDefault="00035872" w:rsidP="00205FAB">
            <w:pPr>
              <w:bidi w:val="0"/>
              <w:jc w:val="right"/>
              <w:rPr>
                <w:rFonts w:asciiTheme="minorHAnsi" w:hAnsiTheme="minorHAnsi" w:cstheme="minorHAnsi"/>
                <w:b/>
                <w:bCs/>
                <w:color w:val="000000" w:themeColor="text1"/>
                <w:sz w:val="18"/>
                <w:szCs w:val="18"/>
              </w:rPr>
            </w:pPr>
            <w:r w:rsidRPr="00DE68A1">
              <w:rPr>
                <w:rFonts w:asciiTheme="minorHAnsi" w:hAnsiTheme="minorHAnsi" w:cstheme="minorHAnsi"/>
                <w:b/>
                <w:bCs/>
                <w:color w:val="000000" w:themeColor="text1"/>
                <w:sz w:val="18"/>
                <w:szCs w:val="18"/>
              </w:rPr>
              <w:t>Up to 1 Month</w:t>
            </w:r>
          </w:p>
        </w:tc>
        <w:tc>
          <w:tcPr>
            <w:tcW w:w="924" w:type="pct"/>
            <w:tcBorders>
              <w:top w:val="single" w:sz="4" w:space="0" w:color="auto"/>
              <w:left w:val="single" w:sz="4" w:space="0" w:color="auto"/>
              <w:bottom w:val="single" w:sz="4" w:space="0" w:color="auto"/>
              <w:right w:val="single" w:sz="4" w:space="0" w:color="auto"/>
            </w:tcBorders>
            <w:vAlign w:val="center"/>
          </w:tcPr>
          <w:p w14:paraId="2158A4B0" w14:textId="0FB7F62A" w:rsidR="00035872" w:rsidRPr="00DE68A1" w:rsidRDefault="00035872" w:rsidP="00205FAB">
            <w:pPr>
              <w:bidi w:val="0"/>
              <w:jc w:val="right"/>
              <w:rPr>
                <w:rFonts w:asciiTheme="minorHAnsi" w:hAnsiTheme="minorHAnsi" w:cstheme="minorHAnsi"/>
                <w:bCs/>
                <w:color w:val="000000"/>
                <w:sz w:val="18"/>
                <w:szCs w:val="18"/>
              </w:rPr>
            </w:pPr>
            <w:r w:rsidRPr="00827945">
              <w:rPr>
                <w:rFonts w:asciiTheme="minorHAnsi" w:hAnsiTheme="minorHAnsi" w:cstheme="minorHAnsi"/>
                <w:bCs/>
                <w:color w:val="000000"/>
                <w:sz w:val="18"/>
                <w:szCs w:val="18"/>
              </w:rPr>
              <w:t>43</w:t>
            </w:r>
            <w:r w:rsidR="00827945" w:rsidRPr="00827945">
              <w:rPr>
                <w:rFonts w:asciiTheme="minorHAnsi" w:hAnsiTheme="minorHAnsi" w:cstheme="minorHAnsi"/>
                <w:bCs/>
                <w:color w:val="000000"/>
                <w:sz w:val="18"/>
                <w:szCs w:val="18"/>
              </w:rPr>
              <w:t>,</w:t>
            </w:r>
            <w:r w:rsidRPr="00827945">
              <w:rPr>
                <w:rFonts w:asciiTheme="minorHAnsi" w:hAnsiTheme="minorHAnsi" w:cstheme="minorHAnsi"/>
                <w:bCs/>
                <w:color w:val="000000"/>
                <w:sz w:val="18"/>
                <w:szCs w:val="18"/>
              </w:rPr>
              <w:t>022</w:t>
            </w:r>
          </w:p>
        </w:tc>
        <w:tc>
          <w:tcPr>
            <w:tcW w:w="591" w:type="pct"/>
            <w:tcBorders>
              <w:top w:val="single" w:sz="4" w:space="0" w:color="auto"/>
              <w:left w:val="single" w:sz="4" w:space="0" w:color="auto"/>
              <w:bottom w:val="single" w:sz="4" w:space="0" w:color="auto"/>
              <w:right w:val="single" w:sz="4" w:space="0" w:color="auto"/>
            </w:tcBorders>
            <w:vAlign w:val="center"/>
            <w:hideMark/>
          </w:tcPr>
          <w:p w14:paraId="60B2AE74" w14:textId="5C2D4D64" w:rsidR="00035872" w:rsidRPr="00DE68A1" w:rsidRDefault="00035872" w:rsidP="00205FAB">
            <w:pPr>
              <w:bidi w:val="0"/>
              <w:jc w:val="right"/>
              <w:rPr>
                <w:rFonts w:asciiTheme="minorHAnsi" w:hAnsiTheme="minorHAnsi" w:cstheme="minorHAnsi"/>
                <w:bCs/>
                <w:color w:val="000000"/>
                <w:sz w:val="18"/>
                <w:szCs w:val="18"/>
              </w:rPr>
            </w:pPr>
            <w:r w:rsidRPr="00DE68A1">
              <w:rPr>
                <w:rFonts w:asciiTheme="minorHAnsi" w:hAnsiTheme="minorHAnsi" w:cstheme="minorHAnsi"/>
                <w:bCs/>
                <w:color w:val="000000"/>
                <w:sz w:val="18"/>
                <w:szCs w:val="18"/>
              </w:rPr>
              <w:t>42,866</w:t>
            </w:r>
          </w:p>
        </w:tc>
        <w:tc>
          <w:tcPr>
            <w:tcW w:w="848" w:type="pct"/>
            <w:tcBorders>
              <w:top w:val="single" w:sz="4" w:space="0" w:color="auto"/>
              <w:left w:val="single" w:sz="4" w:space="0" w:color="auto"/>
              <w:bottom w:val="single" w:sz="4" w:space="0" w:color="auto"/>
              <w:right w:val="single" w:sz="4" w:space="0" w:color="auto"/>
            </w:tcBorders>
            <w:vAlign w:val="center"/>
          </w:tcPr>
          <w:p w14:paraId="41DB9306" w14:textId="6D5C7CD3" w:rsidR="00035872" w:rsidRPr="00DE68A1" w:rsidRDefault="00035872" w:rsidP="00205FAB">
            <w:pPr>
              <w:bidi w:val="0"/>
              <w:jc w:val="right"/>
              <w:rPr>
                <w:rFonts w:asciiTheme="minorHAnsi" w:hAnsiTheme="minorHAnsi" w:cstheme="minorHAnsi"/>
                <w:bCs/>
                <w:color w:val="000000"/>
                <w:sz w:val="18"/>
                <w:szCs w:val="18"/>
              </w:rPr>
            </w:pPr>
            <w:r w:rsidRPr="00827945">
              <w:rPr>
                <w:rFonts w:asciiTheme="minorHAnsi" w:hAnsiTheme="minorHAnsi" w:cstheme="minorHAnsi"/>
                <w:bCs/>
                <w:color w:val="000000"/>
                <w:sz w:val="18"/>
                <w:szCs w:val="18"/>
              </w:rPr>
              <w:t>86</w:t>
            </w:r>
            <w:r w:rsidR="00827945" w:rsidRPr="00827945">
              <w:rPr>
                <w:rFonts w:asciiTheme="minorHAnsi" w:hAnsiTheme="minorHAnsi" w:cstheme="minorHAnsi"/>
                <w:bCs/>
                <w:color w:val="000000"/>
                <w:sz w:val="18"/>
                <w:szCs w:val="18"/>
              </w:rPr>
              <w:t>,</w:t>
            </w:r>
            <w:r w:rsidRPr="00827945">
              <w:rPr>
                <w:rFonts w:asciiTheme="minorHAnsi" w:hAnsiTheme="minorHAnsi" w:cstheme="minorHAnsi"/>
                <w:bCs/>
                <w:color w:val="000000"/>
                <w:sz w:val="18"/>
                <w:szCs w:val="18"/>
              </w:rPr>
              <w:t>606</w:t>
            </w:r>
          </w:p>
        </w:tc>
        <w:tc>
          <w:tcPr>
            <w:tcW w:w="591" w:type="pct"/>
            <w:tcBorders>
              <w:top w:val="single" w:sz="4" w:space="0" w:color="auto"/>
              <w:left w:val="single" w:sz="4" w:space="0" w:color="auto"/>
              <w:bottom w:val="single" w:sz="4" w:space="0" w:color="auto"/>
              <w:right w:val="single" w:sz="4" w:space="0" w:color="auto"/>
            </w:tcBorders>
            <w:vAlign w:val="center"/>
            <w:hideMark/>
          </w:tcPr>
          <w:p w14:paraId="1FA422D3" w14:textId="56FF192F" w:rsidR="00035872" w:rsidRPr="00DE68A1" w:rsidRDefault="00035872" w:rsidP="00205FAB">
            <w:pPr>
              <w:bidi w:val="0"/>
              <w:jc w:val="right"/>
              <w:rPr>
                <w:rFonts w:asciiTheme="minorHAnsi" w:hAnsiTheme="minorHAnsi" w:cstheme="minorHAnsi"/>
                <w:bCs/>
                <w:color w:val="000000"/>
                <w:sz w:val="18"/>
                <w:szCs w:val="18"/>
              </w:rPr>
            </w:pPr>
            <w:r w:rsidRPr="00DE68A1">
              <w:rPr>
                <w:rFonts w:asciiTheme="minorHAnsi" w:hAnsiTheme="minorHAnsi" w:cstheme="minorHAnsi"/>
                <w:bCs/>
                <w:color w:val="000000"/>
                <w:sz w:val="18"/>
                <w:szCs w:val="18"/>
              </w:rPr>
              <w:t>73,010</w:t>
            </w:r>
          </w:p>
        </w:tc>
        <w:tc>
          <w:tcPr>
            <w:tcW w:w="876" w:type="pct"/>
            <w:tcBorders>
              <w:top w:val="single" w:sz="4" w:space="0" w:color="auto"/>
              <w:left w:val="single" w:sz="4" w:space="0" w:color="auto"/>
              <w:bottom w:val="single" w:sz="4" w:space="0" w:color="auto"/>
              <w:right w:val="single" w:sz="4" w:space="0" w:color="auto"/>
            </w:tcBorders>
            <w:vAlign w:val="center"/>
          </w:tcPr>
          <w:p w14:paraId="76D8C3BA" w14:textId="1D45C9C9" w:rsidR="00035872" w:rsidRPr="00DE68A1" w:rsidRDefault="00035872" w:rsidP="00205FAB">
            <w:pPr>
              <w:bidi w:val="0"/>
              <w:jc w:val="right"/>
              <w:rPr>
                <w:rFonts w:asciiTheme="minorHAnsi" w:hAnsiTheme="minorHAnsi" w:cstheme="minorHAnsi"/>
                <w:bCs/>
                <w:color w:val="000000"/>
                <w:sz w:val="18"/>
                <w:szCs w:val="18"/>
              </w:rPr>
            </w:pPr>
            <w:r w:rsidRPr="00827945">
              <w:rPr>
                <w:rFonts w:asciiTheme="minorHAnsi" w:hAnsiTheme="minorHAnsi" w:cstheme="minorHAnsi"/>
                <w:bCs/>
                <w:color w:val="000000"/>
                <w:sz w:val="18"/>
                <w:szCs w:val="18"/>
              </w:rPr>
              <w:t>129</w:t>
            </w:r>
            <w:r w:rsidR="00827945" w:rsidRPr="00827945">
              <w:rPr>
                <w:rFonts w:asciiTheme="minorHAnsi" w:hAnsiTheme="minorHAnsi" w:cstheme="minorHAnsi"/>
                <w:bCs/>
                <w:color w:val="000000"/>
                <w:sz w:val="18"/>
                <w:szCs w:val="18"/>
              </w:rPr>
              <w:t>,</w:t>
            </w:r>
            <w:r w:rsidRPr="00827945">
              <w:rPr>
                <w:rFonts w:asciiTheme="minorHAnsi" w:hAnsiTheme="minorHAnsi" w:cstheme="minorHAnsi"/>
                <w:bCs/>
                <w:color w:val="000000"/>
                <w:sz w:val="18"/>
                <w:szCs w:val="18"/>
              </w:rPr>
              <w:t>628</w:t>
            </w:r>
          </w:p>
        </w:tc>
        <w:tc>
          <w:tcPr>
            <w:tcW w:w="535" w:type="pct"/>
            <w:tcBorders>
              <w:top w:val="single" w:sz="4" w:space="0" w:color="auto"/>
              <w:left w:val="single" w:sz="4" w:space="0" w:color="auto"/>
              <w:bottom w:val="single" w:sz="4" w:space="0" w:color="auto"/>
              <w:right w:val="single" w:sz="4" w:space="0" w:color="auto"/>
            </w:tcBorders>
            <w:vAlign w:val="center"/>
          </w:tcPr>
          <w:p w14:paraId="74D9B6EB" w14:textId="58026515" w:rsidR="00035872" w:rsidRPr="00DE68A1" w:rsidRDefault="00035872" w:rsidP="00205FAB">
            <w:pPr>
              <w:bidi w:val="0"/>
              <w:jc w:val="right"/>
              <w:rPr>
                <w:rFonts w:asciiTheme="minorHAnsi" w:hAnsiTheme="minorHAnsi" w:cstheme="minorHAnsi"/>
                <w:bCs/>
                <w:color w:val="000000"/>
                <w:sz w:val="18"/>
                <w:szCs w:val="18"/>
              </w:rPr>
            </w:pPr>
            <w:r w:rsidRPr="00DE68A1">
              <w:rPr>
                <w:rFonts w:asciiTheme="minorHAnsi" w:hAnsiTheme="minorHAnsi" w:cstheme="minorHAnsi"/>
                <w:bCs/>
                <w:color w:val="000000"/>
                <w:sz w:val="18"/>
                <w:szCs w:val="18"/>
              </w:rPr>
              <w:t>115,876</w:t>
            </w:r>
          </w:p>
        </w:tc>
      </w:tr>
      <w:tr w:rsidR="00035872" w:rsidRPr="00DE68A1" w14:paraId="31184F07" w14:textId="77777777" w:rsidTr="00FE67B3">
        <w:trPr>
          <w:trHeight w:val="182"/>
        </w:trPr>
        <w:tc>
          <w:tcPr>
            <w:tcW w:w="635" w:type="pct"/>
            <w:tcBorders>
              <w:top w:val="nil"/>
              <w:left w:val="single" w:sz="4" w:space="0" w:color="000000"/>
              <w:bottom w:val="single" w:sz="4" w:space="0" w:color="000000"/>
              <w:right w:val="single" w:sz="4" w:space="0" w:color="auto"/>
            </w:tcBorders>
            <w:shd w:val="clear" w:color="auto" w:fill="D9D9D9" w:themeFill="background1" w:themeFillShade="D9"/>
            <w:vAlign w:val="center"/>
            <w:hideMark/>
          </w:tcPr>
          <w:p w14:paraId="68FEF00F" w14:textId="58D8045A" w:rsidR="00035872" w:rsidRPr="00DE68A1" w:rsidRDefault="00035872" w:rsidP="00205FAB">
            <w:pPr>
              <w:bidi w:val="0"/>
              <w:jc w:val="right"/>
              <w:rPr>
                <w:rFonts w:asciiTheme="minorHAnsi" w:hAnsiTheme="minorHAnsi" w:cstheme="minorHAnsi"/>
                <w:b/>
                <w:bCs/>
                <w:color w:val="000000" w:themeColor="text1"/>
                <w:sz w:val="18"/>
                <w:szCs w:val="18"/>
              </w:rPr>
            </w:pPr>
            <w:r w:rsidRPr="00DE68A1">
              <w:rPr>
                <w:rFonts w:asciiTheme="minorHAnsi" w:hAnsiTheme="minorHAnsi" w:cstheme="minorHAnsi"/>
                <w:b/>
                <w:bCs/>
                <w:color w:val="000000" w:themeColor="text1"/>
                <w:sz w:val="18"/>
                <w:szCs w:val="18"/>
              </w:rPr>
              <w:t>1 to 3 Month</w:t>
            </w:r>
          </w:p>
        </w:tc>
        <w:tc>
          <w:tcPr>
            <w:tcW w:w="924" w:type="pct"/>
            <w:tcBorders>
              <w:top w:val="single" w:sz="4" w:space="0" w:color="auto"/>
              <w:left w:val="single" w:sz="4" w:space="0" w:color="auto"/>
              <w:bottom w:val="single" w:sz="4" w:space="0" w:color="auto"/>
              <w:right w:val="single" w:sz="4" w:space="0" w:color="auto"/>
            </w:tcBorders>
            <w:vAlign w:val="center"/>
          </w:tcPr>
          <w:p w14:paraId="174C67A3" w14:textId="1F6B6F2B" w:rsidR="00035872" w:rsidRPr="00DE68A1" w:rsidRDefault="00035872" w:rsidP="00205FAB">
            <w:pPr>
              <w:bidi w:val="0"/>
              <w:jc w:val="right"/>
              <w:rPr>
                <w:rFonts w:asciiTheme="minorHAnsi" w:hAnsiTheme="minorHAnsi" w:cstheme="minorHAnsi"/>
                <w:bCs/>
                <w:color w:val="000000"/>
                <w:sz w:val="18"/>
                <w:szCs w:val="18"/>
              </w:rPr>
            </w:pPr>
            <w:r w:rsidRPr="00827945">
              <w:rPr>
                <w:rFonts w:asciiTheme="minorHAnsi" w:hAnsiTheme="minorHAnsi" w:cstheme="minorHAnsi"/>
                <w:bCs/>
                <w:color w:val="000000"/>
                <w:sz w:val="18"/>
                <w:szCs w:val="18"/>
              </w:rPr>
              <w:t>33</w:t>
            </w:r>
            <w:r w:rsidR="00827945" w:rsidRPr="00827945">
              <w:rPr>
                <w:rFonts w:asciiTheme="minorHAnsi" w:hAnsiTheme="minorHAnsi" w:cstheme="minorHAnsi"/>
                <w:bCs/>
                <w:color w:val="000000"/>
                <w:sz w:val="18"/>
                <w:szCs w:val="18"/>
              </w:rPr>
              <w:t>,</w:t>
            </w:r>
            <w:r w:rsidRPr="00827945">
              <w:rPr>
                <w:rFonts w:asciiTheme="minorHAnsi" w:hAnsiTheme="minorHAnsi" w:cstheme="minorHAnsi"/>
                <w:bCs/>
                <w:color w:val="000000"/>
                <w:sz w:val="18"/>
                <w:szCs w:val="18"/>
              </w:rPr>
              <w:t>608</w:t>
            </w:r>
          </w:p>
        </w:tc>
        <w:tc>
          <w:tcPr>
            <w:tcW w:w="591" w:type="pct"/>
            <w:tcBorders>
              <w:top w:val="single" w:sz="4" w:space="0" w:color="auto"/>
              <w:left w:val="single" w:sz="4" w:space="0" w:color="auto"/>
              <w:bottom w:val="single" w:sz="4" w:space="0" w:color="auto"/>
              <w:right w:val="single" w:sz="4" w:space="0" w:color="auto"/>
            </w:tcBorders>
            <w:vAlign w:val="center"/>
            <w:hideMark/>
          </w:tcPr>
          <w:p w14:paraId="6930992D" w14:textId="0F6E70EE" w:rsidR="00035872" w:rsidRPr="00DE68A1" w:rsidRDefault="00035872" w:rsidP="00205FAB">
            <w:pPr>
              <w:bidi w:val="0"/>
              <w:jc w:val="right"/>
              <w:rPr>
                <w:rFonts w:asciiTheme="minorHAnsi" w:hAnsiTheme="minorHAnsi" w:cstheme="minorHAnsi"/>
                <w:bCs/>
                <w:color w:val="000000"/>
                <w:sz w:val="18"/>
                <w:szCs w:val="18"/>
              </w:rPr>
            </w:pPr>
            <w:r w:rsidRPr="00DE68A1">
              <w:rPr>
                <w:rFonts w:asciiTheme="minorHAnsi" w:hAnsiTheme="minorHAnsi" w:cstheme="minorHAnsi"/>
                <w:bCs/>
                <w:color w:val="000000"/>
                <w:sz w:val="18"/>
                <w:szCs w:val="18"/>
              </w:rPr>
              <w:t>37,407</w:t>
            </w:r>
          </w:p>
        </w:tc>
        <w:tc>
          <w:tcPr>
            <w:tcW w:w="848" w:type="pct"/>
            <w:tcBorders>
              <w:top w:val="single" w:sz="4" w:space="0" w:color="auto"/>
              <w:left w:val="single" w:sz="4" w:space="0" w:color="auto"/>
              <w:bottom w:val="single" w:sz="4" w:space="0" w:color="auto"/>
              <w:right w:val="single" w:sz="4" w:space="0" w:color="auto"/>
            </w:tcBorders>
            <w:vAlign w:val="center"/>
          </w:tcPr>
          <w:p w14:paraId="08713FB3" w14:textId="102D93EE" w:rsidR="00035872" w:rsidRPr="00DE68A1" w:rsidRDefault="00035872" w:rsidP="00205FAB">
            <w:pPr>
              <w:bidi w:val="0"/>
              <w:jc w:val="right"/>
              <w:rPr>
                <w:rFonts w:asciiTheme="minorHAnsi" w:hAnsiTheme="minorHAnsi" w:cstheme="minorHAnsi"/>
                <w:bCs/>
                <w:color w:val="000000"/>
                <w:sz w:val="18"/>
                <w:szCs w:val="18"/>
              </w:rPr>
            </w:pPr>
            <w:r w:rsidRPr="00827945">
              <w:rPr>
                <w:rFonts w:asciiTheme="minorHAnsi" w:hAnsiTheme="minorHAnsi" w:cstheme="minorHAnsi"/>
                <w:bCs/>
                <w:color w:val="000000"/>
                <w:sz w:val="18"/>
                <w:szCs w:val="18"/>
              </w:rPr>
              <w:t>5</w:t>
            </w:r>
            <w:r w:rsidR="00827945" w:rsidRPr="00827945">
              <w:rPr>
                <w:rFonts w:asciiTheme="minorHAnsi" w:hAnsiTheme="minorHAnsi" w:cstheme="minorHAnsi"/>
                <w:bCs/>
                <w:color w:val="000000"/>
                <w:sz w:val="18"/>
                <w:szCs w:val="18"/>
              </w:rPr>
              <w:t>,</w:t>
            </w:r>
            <w:r w:rsidRPr="00827945">
              <w:rPr>
                <w:rFonts w:asciiTheme="minorHAnsi" w:hAnsiTheme="minorHAnsi" w:cstheme="minorHAnsi"/>
                <w:bCs/>
                <w:color w:val="000000"/>
                <w:sz w:val="18"/>
                <w:szCs w:val="18"/>
              </w:rPr>
              <w:t>587</w:t>
            </w:r>
          </w:p>
        </w:tc>
        <w:tc>
          <w:tcPr>
            <w:tcW w:w="591" w:type="pct"/>
            <w:tcBorders>
              <w:top w:val="single" w:sz="4" w:space="0" w:color="auto"/>
              <w:left w:val="single" w:sz="4" w:space="0" w:color="auto"/>
              <w:bottom w:val="single" w:sz="4" w:space="0" w:color="auto"/>
              <w:right w:val="single" w:sz="4" w:space="0" w:color="auto"/>
            </w:tcBorders>
            <w:vAlign w:val="center"/>
            <w:hideMark/>
          </w:tcPr>
          <w:p w14:paraId="7BA55C2A" w14:textId="0AD5D0DF" w:rsidR="00035872" w:rsidRPr="00DE68A1" w:rsidRDefault="00035872" w:rsidP="00205FAB">
            <w:pPr>
              <w:bidi w:val="0"/>
              <w:jc w:val="right"/>
              <w:rPr>
                <w:rFonts w:asciiTheme="minorHAnsi" w:hAnsiTheme="minorHAnsi" w:cstheme="minorHAnsi"/>
                <w:bCs/>
                <w:color w:val="000000"/>
                <w:sz w:val="18"/>
                <w:szCs w:val="18"/>
              </w:rPr>
            </w:pPr>
            <w:r w:rsidRPr="00DE68A1">
              <w:rPr>
                <w:rFonts w:asciiTheme="minorHAnsi" w:hAnsiTheme="minorHAnsi" w:cstheme="minorHAnsi"/>
                <w:bCs/>
                <w:color w:val="000000"/>
                <w:sz w:val="18"/>
                <w:szCs w:val="18"/>
              </w:rPr>
              <w:t>4,575</w:t>
            </w:r>
          </w:p>
        </w:tc>
        <w:tc>
          <w:tcPr>
            <w:tcW w:w="876" w:type="pct"/>
            <w:tcBorders>
              <w:top w:val="single" w:sz="4" w:space="0" w:color="auto"/>
              <w:left w:val="single" w:sz="4" w:space="0" w:color="auto"/>
              <w:bottom w:val="single" w:sz="4" w:space="0" w:color="auto"/>
              <w:right w:val="single" w:sz="4" w:space="0" w:color="auto"/>
            </w:tcBorders>
            <w:vAlign w:val="center"/>
          </w:tcPr>
          <w:p w14:paraId="11CDA28F" w14:textId="195AD3C0" w:rsidR="00035872" w:rsidRPr="00DE68A1" w:rsidRDefault="00035872" w:rsidP="00205FAB">
            <w:pPr>
              <w:bidi w:val="0"/>
              <w:jc w:val="right"/>
              <w:rPr>
                <w:rFonts w:asciiTheme="minorHAnsi" w:hAnsiTheme="minorHAnsi" w:cstheme="minorHAnsi"/>
                <w:bCs/>
                <w:color w:val="000000"/>
                <w:sz w:val="18"/>
                <w:szCs w:val="18"/>
              </w:rPr>
            </w:pPr>
            <w:r w:rsidRPr="00827945">
              <w:rPr>
                <w:rFonts w:asciiTheme="minorHAnsi" w:hAnsiTheme="minorHAnsi" w:cstheme="minorHAnsi"/>
                <w:bCs/>
                <w:color w:val="000000"/>
                <w:sz w:val="18"/>
                <w:szCs w:val="18"/>
              </w:rPr>
              <w:t>39</w:t>
            </w:r>
            <w:r w:rsidR="00827945" w:rsidRPr="00827945">
              <w:rPr>
                <w:rFonts w:asciiTheme="minorHAnsi" w:hAnsiTheme="minorHAnsi" w:cstheme="minorHAnsi"/>
                <w:bCs/>
                <w:color w:val="000000"/>
                <w:sz w:val="18"/>
                <w:szCs w:val="18"/>
              </w:rPr>
              <w:t>,</w:t>
            </w:r>
            <w:r w:rsidRPr="00827945">
              <w:rPr>
                <w:rFonts w:asciiTheme="minorHAnsi" w:hAnsiTheme="minorHAnsi" w:cstheme="minorHAnsi"/>
                <w:bCs/>
                <w:color w:val="000000"/>
                <w:sz w:val="18"/>
                <w:szCs w:val="18"/>
              </w:rPr>
              <w:t>195</w:t>
            </w:r>
          </w:p>
        </w:tc>
        <w:tc>
          <w:tcPr>
            <w:tcW w:w="535" w:type="pct"/>
            <w:tcBorders>
              <w:top w:val="single" w:sz="4" w:space="0" w:color="auto"/>
              <w:left w:val="single" w:sz="4" w:space="0" w:color="auto"/>
              <w:bottom w:val="single" w:sz="4" w:space="0" w:color="auto"/>
              <w:right w:val="single" w:sz="4" w:space="0" w:color="auto"/>
            </w:tcBorders>
            <w:vAlign w:val="center"/>
          </w:tcPr>
          <w:p w14:paraId="18E1FFA0" w14:textId="3ED64310" w:rsidR="00035872" w:rsidRPr="00DE68A1" w:rsidRDefault="00035872" w:rsidP="00205FAB">
            <w:pPr>
              <w:bidi w:val="0"/>
              <w:jc w:val="right"/>
              <w:rPr>
                <w:rFonts w:asciiTheme="minorHAnsi" w:hAnsiTheme="minorHAnsi" w:cstheme="minorHAnsi"/>
                <w:bCs/>
                <w:color w:val="000000"/>
                <w:sz w:val="18"/>
                <w:szCs w:val="18"/>
              </w:rPr>
            </w:pPr>
            <w:r w:rsidRPr="00DE68A1">
              <w:rPr>
                <w:rFonts w:asciiTheme="minorHAnsi" w:hAnsiTheme="minorHAnsi" w:cstheme="minorHAnsi"/>
                <w:bCs/>
                <w:color w:val="000000"/>
                <w:sz w:val="18"/>
                <w:szCs w:val="18"/>
              </w:rPr>
              <w:t>41,982</w:t>
            </w:r>
          </w:p>
        </w:tc>
      </w:tr>
      <w:tr w:rsidR="00035872" w:rsidRPr="00DE68A1" w14:paraId="04E362E5" w14:textId="77777777" w:rsidTr="00FE67B3">
        <w:trPr>
          <w:trHeight w:val="182"/>
        </w:trPr>
        <w:tc>
          <w:tcPr>
            <w:tcW w:w="635" w:type="pct"/>
            <w:tcBorders>
              <w:top w:val="nil"/>
              <w:left w:val="single" w:sz="4" w:space="0" w:color="000000"/>
              <w:bottom w:val="single" w:sz="4" w:space="0" w:color="000000"/>
              <w:right w:val="single" w:sz="4" w:space="0" w:color="auto"/>
            </w:tcBorders>
            <w:shd w:val="clear" w:color="auto" w:fill="D9D9D9" w:themeFill="background1" w:themeFillShade="D9"/>
            <w:vAlign w:val="center"/>
            <w:hideMark/>
          </w:tcPr>
          <w:p w14:paraId="0C9C9856" w14:textId="77777777" w:rsidR="00035872" w:rsidRPr="00DE68A1" w:rsidRDefault="00035872" w:rsidP="00205FAB">
            <w:pPr>
              <w:bidi w:val="0"/>
              <w:jc w:val="right"/>
              <w:rPr>
                <w:rFonts w:asciiTheme="minorHAnsi" w:hAnsiTheme="minorHAnsi" w:cstheme="minorHAnsi"/>
                <w:b/>
                <w:bCs/>
                <w:color w:val="000000" w:themeColor="text1"/>
                <w:sz w:val="18"/>
                <w:szCs w:val="18"/>
              </w:rPr>
            </w:pPr>
            <w:r w:rsidRPr="00DE68A1">
              <w:rPr>
                <w:rFonts w:asciiTheme="minorHAnsi" w:hAnsiTheme="minorHAnsi" w:cstheme="minorHAnsi"/>
                <w:b/>
                <w:bCs/>
                <w:color w:val="000000" w:themeColor="text1"/>
                <w:sz w:val="18"/>
                <w:szCs w:val="18"/>
              </w:rPr>
              <w:t>3 to 12 Month</w:t>
            </w:r>
          </w:p>
        </w:tc>
        <w:tc>
          <w:tcPr>
            <w:tcW w:w="924" w:type="pct"/>
            <w:tcBorders>
              <w:top w:val="single" w:sz="4" w:space="0" w:color="auto"/>
              <w:left w:val="single" w:sz="4" w:space="0" w:color="auto"/>
              <w:bottom w:val="single" w:sz="4" w:space="0" w:color="auto"/>
              <w:right w:val="single" w:sz="4" w:space="0" w:color="auto"/>
            </w:tcBorders>
            <w:vAlign w:val="center"/>
          </w:tcPr>
          <w:p w14:paraId="6E8CD815" w14:textId="77948A27" w:rsidR="00035872" w:rsidRPr="00DE68A1" w:rsidRDefault="00035872" w:rsidP="00205FAB">
            <w:pPr>
              <w:bidi w:val="0"/>
              <w:jc w:val="right"/>
              <w:rPr>
                <w:rFonts w:asciiTheme="minorHAnsi" w:hAnsiTheme="minorHAnsi" w:cstheme="minorHAnsi"/>
                <w:bCs/>
                <w:color w:val="000000"/>
                <w:sz w:val="18"/>
                <w:szCs w:val="18"/>
              </w:rPr>
            </w:pPr>
            <w:r w:rsidRPr="00827945">
              <w:rPr>
                <w:rFonts w:asciiTheme="minorHAnsi" w:hAnsiTheme="minorHAnsi" w:cstheme="minorHAnsi"/>
                <w:bCs/>
                <w:color w:val="000000"/>
                <w:sz w:val="18"/>
                <w:szCs w:val="18"/>
              </w:rPr>
              <w:t>70</w:t>
            </w:r>
            <w:r w:rsidR="00827945" w:rsidRPr="00827945">
              <w:rPr>
                <w:rFonts w:asciiTheme="minorHAnsi" w:hAnsiTheme="minorHAnsi" w:cstheme="minorHAnsi"/>
                <w:bCs/>
                <w:color w:val="000000"/>
                <w:sz w:val="18"/>
                <w:szCs w:val="18"/>
              </w:rPr>
              <w:t>,</w:t>
            </w:r>
            <w:r w:rsidRPr="00827945">
              <w:rPr>
                <w:rFonts w:asciiTheme="minorHAnsi" w:hAnsiTheme="minorHAnsi" w:cstheme="minorHAnsi"/>
                <w:bCs/>
                <w:color w:val="000000"/>
                <w:sz w:val="18"/>
                <w:szCs w:val="18"/>
              </w:rPr>
              <w:t>884</w:t>
            </w:r>
          </w:p>
        </w:tc>
        <w:tc>
          <w:tcPr>
            <w:tcW w:w="591" w:type="pct"/>
            <w:tcBorders>
              <w:top w:val="single" w:sz="4" w:space="0" w:color="auto"/>
              <w:left w:val="single" w:sz="4" w:space="0" w:color="auto"/>
              <w:bottom w:val="single" w:sz="4" w:space="0" w:color="auto"/>
              <w:right w:val="single" w:sz="4" w:space="0" w:color="auto"/>
            </w:tcBorders>
            <w:vAlign w:val="center"/>
            <w:hideMark/>
          </w:tcPr>
          <w:p w14:paraId="2C4A8A5A" w14:textId="59440DFA" w:rsidR="00035872" w:rsidRPr="00DE68A1" w:rsidRDefault="00035872" w:rsidP="00205FAB">
            <w:pPr>
              <w:bidi w:val="0"/>
              <w:jc w:val="right"/>
              <w:rPr>
                <w:rFonts w:asciiTheme="minorHAnsi" w:hAnsiTheme="minorHAnsi" w:cstheme="minorHAnsi"/>
                <w:bCs/>
                <w:color w:val="000000"/>
                <w:sz w:val="18"/>
                <w:szCs w:val="18"/>
              </w:rPr>
            </w:pPr>
            <w:r w:rsidRPr="00DE68A1">
              <w:rPr>
                <w:rFonts w:asciiTheme="minorHAnsi" w:hAnsiTheme="minorHAnsi" w:cstheme="minorHAnsi"/>
                <w:bCs/>
                <w:color w:val="000000"/>
                <w:sz w:val="18"/>
                <w:szCs w:val="18"/>
              </w:rPr>
              <w:t>88,099</w:t>
            </w:r>
          </w:p>
        </w:tc>
        <w:tc>
          <w:tcPr>
            <w:tcW w:w="848" w:type="pct"/>
            <w:tcBorders>
              <w:top w:val="single" w:sz="4" w:space="0" w:color="auto"/>
              <w:left w:val="single" w:sz="4" w:space="0" w:color="auto"/>
              <w:bottom w:val="single" w:sz="4" w:space="0" w:color="auto"/>
              <w:right w:val="single" w:sz="4" w:space="0" w:color="auto"/>
            </w:tcBorders>
            <w:vAlign w:val="center"/>
          </w:tcPr>
          <w:p w14:paraId="42AA67C0" w14:textId="3F90CCE1" w:rsidR="00035872" w:rsidRPr="00DE68A1" w:rsidRDefault="00035872" w:rsidP="00205FAB">
            <w:pPr>
              <w:bidi w:val="0"/>
              <w:jc w:val="right"/>
              <w:rPr>
                <w:rFonts w:asciiTheme="minorHAnsi" w:hAnsiTheme="minorHAnsi" w:cstheme="minorHAnsi"/>
                <w:bCs/>
                <w:color w:val="000000"/>
                <w:sz w:val="18"/>
                <w:szCs w:val="18"/>
              </w:rPr>
            </w:pPr>
            <w:r w:rsidRPr="00827945">
              <w:rPr>
                <w:rFonts w:asciiTheme="minorHAnsi" w:hAnsiTheme="minorHAnsi" w:cstheme="minorHAnsi"/>
                <w:bCs/>
                <w:color w:val="000000"/>
                <w:sz w:val="18"/>
                <w:szCs w:val="18"/>
              </w:rPr>
              <w:t>23</w:t>
            </w:r>
            <w:r w:rsidR="00827945" w:rsidRPr="00827945">
              <w:rPr>
                <w:rFonts w:asciiTheme="minorHAnsi" w:hAnsiTheme="minorHAnsi" w:cstheme="minorHAnsi"/>
                <w:bCs/>
                <w:color w:val="000000"/>
                <w:sz w:val="18"/>
                <w:szCs w:val="18"/>
              </w:rPr>
              <w:t>,</w:t>
            </w:r>
            <w:r w:rsidRPr="00827945">
              <w:rPr>
                <w:rFonts w:asciiTheme="minorHAnsi" w:hAnsiTheme="minorHAnsi" w:cstheme="minorHAnsi"/>
                <w:bCs/>
                <w:color w:val="000000"/>
                <w:sz w:val="18"/>
                <w:szCs w:val="18"/>
              </w:rPr>
              <w:t>204</w:t>
            </w:r>
          </w:p>
        </w:tc>
        <w:tc>
          <w:tcPr>
            <w:tcW w:w="591" w:type="pct"/>
            <w:tcBorders>
              <w:top w:val="single" w:sz="4" w:space="0" w:color="auto"/>
              <w:left w:val="single" w:sz="4" w:space="0" w:color="auto"/>
              <w:bottom w:val="single" w:sz="4" w:space="0" w:color="auto"/>
              <w:right w:val="single" w:sz="4" w:space="0" w:color="auto"/>
            </w:tcBorders>
            <w:vAlign w:val="center"/>
            <w:hideMark/>
          </w:tcPr>
          <w:p w14:paraId="1E5B0E6A" w14:textId="7CF85765" w:rsidR="00035872" w:rsidRPr="00DE68A1" w:rsidRDefault="00035872" w:rsidP="00205FAB">
            <w:pPr>
              <w:bidi w:val="0"/>
              <w:jc w:val="right"/>
              <w:rPr>
                <w:rFonts w:asciiTheme="minorHAnsi" w:hAnsiTheme="minorHAnsi" w:cstheme="minorHAnsi"/>
                <w:bCs/>
                <w:color w:val="000000"/>
                <w:sz w:val="18"/>
                <w:szCs w:val="18"/>
              </w:rPr>
            </w:pPr>
            <w:r w:rsidRPr="00DE68A1">
              <w:rPr>
                <w:rFonts w:asciiTheme="minorHAnsi" w:hAnsiTheme="minorHAnsi" w:cstheme="minorHAnsi"/>
                <w:bCs/>
                <w:color w:val="000000"/>
                <w:sz w:val="18"/>
                <w:szCs w:val="18"/>
              </w:rPr>
              <w:t>24,858</w:t>
            </w:r>
          </w:p>
        </w:tc>
        <w:tc>
          <w:tcPr>
            <w:tcW w:w="876" w:type="pct"/>
            <w:tcBorders>
              <w:top w:val="single" w:sz="4" w:space="0" w:color="auto"/>
              <w:left w:val="single" w:sz="4" w:space="0" w:color="auto"/>
              <w:bottom w:val="single" w:sz="4" w:space="0" w:color="auto"/>
              <w:right w:val="single" w:sz="4" w:space="0" w:color="auto"/>
            </w:tcBorders>
            <w:vAlign w:val="center"/>
          </w:tcPr>
          <w:p w14:paraId="2644ADEF" w14:textId="4C7A3B46" w:rsidR="00035872" w:rsidRPr="00DE68A1" w:rsidRDefault="00035872" w:rsidP="00205FAB">
            <w:pPr>
              <w:bidi w:val="0"/>
              <w:jc w:val="right"/>
              <w:rPr>
                <w:rFonts w:asciiTheme="minorHAnsi" w:hAnsiTheme="minorHAnsi" w:cstheme="minorHAnsi"/>
                <w:bCs/>
                <w:color w:val="000000"/>
                <w:sz w:val="18"/>
                <w:szCs w:val="18"/>
              </w:rPr>
            </w:pPr>
            <w:r w:rsidRPr="00827945">
              <w:rPr>
                <w:rFonts w:asciiTheme="minorHAnsi" w:hAnsiTheme="minorHAnsi" w:cstheme="minorHAnsi"/>
                <w:bCs/>
                <w:color w:val="000000"/>
                <w:sz w:val="18"/>
                <w:szCs w:val="18"/>
              </w:rPr>
              <w:t>94</w:t>
            </w:r>
            <w:r w:rsidR="00827945" w:rsidRPr="00827945">
              <w:rPr>
                <w:rFonts w:asciiTheme="minorHAnsi" w:hAnsiTheme="minorHAnsi" w:cstheme="minorHAnsi"/>
                <w:bCs/>
                <w:color w:val="000000"/>
                <w:sz w:val="18"/>
                <w:szCs w:val="18"/>
              </w:rPr>
              <w:t>,</w:t>
            </w:r>
            <w:r w:rsidRPr="00827945">
              <w:rPr>
                <w:rFonts w:asciiTheme="minorHAnsi" w:hAnsiTheme="minorHAnsi" w:cstheme="minorHAnsi"/>
                <w:bCs/>
                <w:color w:val="000000"/>
                <w:sz w:val="18"/>
                <w:szCs w:val="18"/>
              </w:rPr>
              <w:t>088</w:t>
            </w:r>
          </w:p>
        </w:tc>
        <w:tc>
          <w:tcPr>
            <w:tcW w:w="535" w:type="pct"/>
            <w:tcBorders>
              <w:top w:val="single" w:sz="4" w:space="0" w:color="auto"/>
              <w:left w:val="single" w:sz="4" w:space="0" w:color="auto"/>
              <w:bottom w:val="single" w:sz="4" w:space="0" w:color="auto"/>
              <w:right w:val="single" w:sz="4" w:space="0" w:color="auto"/>
            </w:tcBorders>
            <w:vAlign w:val="center"/>
          </w:tcPr>
          <w:p w14:paraId="33D170DB" w14:textId="45005267" w:rsidR="00035872" w:rsidRPr="00DE68A1" w:rsidRDefault="00035872" w:rsidP="00205FAB">
            <w:pPr>
              <w:bidi w:val="0"/>
              <w:jc w:val="right"/>
              <w:rPr>
                <w:rFonts w:asciiTheme="minorHAnsi" w:hAnsiTheme="minorHAnsi" w:cstheme="minorHAnsi"/>
                <w:bCs/>
                <w:color w:val="000000"/>
                <w:sz w:val="18"/>
                <w:szCs w:val="18"/>
              </w:rPr>
            </w:pPr>
            <w:r w:rsidRPr="00DE68A1">
              <w:rPr>
                <w:rFonts w:asciiTheme="minorHAnsi" w:hAnsiTheme="minorHAnsi" w:cstheme="minorHAnsi"/>
                <w:bCs/>
                <w:color w:val="000000"/>
                <w:sz w:val="18"/>
                <w:szCs w:val="18"/>
              </w:rPr>
              <w:t>112,957</w:t>
            </w:r>
          </w:p>
        </w:tc>
      </w:tr>
      <w:tr w:rsidR="00035872" w:rsidRPr="00DE68A1" w14:paraId="7E31638E" w14:textId="77777777" w:rsidTr="00FE67B3">
        <w:trPr>
          <w:trHeight w:val="182"/>
        </w:trPr>
        <w:tc>
          <w:tcPr>
            <w:tcW w:w="635" w:type="pct"/>
            <w:tcBorders>
              <w:top w:val="nil"/>
              <w:left w:val="single" w:sz="4" w:space="0" w:color="000000"/>
              <w:bottom w:val="single" w:sz="4" w:space="0" w:color="000000"/>
              <w:right w:val="single" w:sz="4" w:space="0" w:color="auto"/>
            </w:tcBorders>
            <w:shd w:val="clear" w:color="auto" w:fill="D9D9D9" w:themeFill="background1" w:themeFillShade="D9"/>
            <w:vAlign w:val="center"/>
            <w:hideMark/>
          </w:tcPr>
          <w:p w14:paraId="22559CCC" w14:textId="77777777" w:rsidR="00035872" w:rsidRPr="00DE68A1" w:rsidRDefault="00035872" w:rsidP="00205FAB">
            <w:pPr>
              <w:bidi w:val="0"/>
              <w:jc w:val="right"/>
              <w:rPr>
                <w:rFonts w:asciiTheme="minorHAnsi" w:hAnsiTheme="minorHAnsi" w:cstheme="minorHAnsi"/>
                <w:b/>
                <w:bCs/>
                <w:color w:val="000000" w:themeColor="text1"/>
                <w:sz w:val="18"/>
                <w:szCs w:val="18"/>
              </w:rPr>
            </w:pPr>
            <w:r w:rsidRPr="00DE68A1">
              <w:rPr>
                <w:rFonts w:asciiTheme="minorHAnsi" w:hAnsiTheme="minorHAnsi" w:cstheme="minorHAnsi"/>
                <w:b/>
                <w:bCs/>
                <w:color w:val="000000" w:themeColor="text1"/>
                <w:sz w:val="18"/>
                <w:szCs w:val="18"/>
              </w:rPr>
              <w:t>Over 1 Year</w:t>
            </w:r>
          </w:p>
        </w:tc>
        <w:tc>
          <w:tcPr>
            <w:tcW w:w="924" w:type="pct"/>
            <w:tcBorders>
              <w:top w:val="single" w:sz="4" w:space="0" w:color="auto"/>
              <w:left w:val="single" w:sz="4" w:space="0" w:color="auto"/>
              <w:bottom w:val="single" w:sz="4" w:space="0" w:color="auto"/>
              <w:right w:val="single" w:sz="4" w:space="0" w:color="auto"/>
            </w:tcBorders>
            <w:vAlign w:val="center"/>
          </w:tcPr>
          <w:p w14:paraId="496CFB07" w14:textId="1884E997" w:rsidR="00035872" w:rsidRPr="00DE68A1" w:rsidRDefault="00035872" w:rsidP="00205FAB">
            <w:pPr>
              <w:bidi w:val="0"/>
              <w:jc w:val="right"/>
              <w:rPr>
                <w:rFonts w:asciiTheme="minorHAnsi" w:hAnsiTheme="minorHAnsi" w:cstheme="minorHAnsi"/>
                <w:bCs/>
                <w:color w:val="000000"/>
                <w:sz w:val="18"/>
                <w:szCs w:val="18"/>
              </w:rPr>
            </w:pPr>
            <w:r w:rsidRPr="00827945">
              <w:rPr>
                <w:rFonts w:asciiTheme="minorHAnsi" w:hAnsiTheme="minorHAnsi" w:cstheme="minorHAnsi"/>
                <w:bCs/>
                <w:color w:val="000000"/>
                <w:sz w:val="18"/>
                <w:szCs w:val="18"/>
              </w:rPr>
              <w:t>10</w:t>
            </w:r>
            <w:r w:rsidR="00827945" w:rsidRPr="00827945">
              <w:rPr>
                <w:rFonts w:asciiTheme="minorHAnsi" w:hAnsiTheme="minorHAnsi" w:cstheme="minorHAnsi"/>
                <w:bCs/>
                <w:color w:val="000000"/>
                <w:sz w:val="18"/>
                <w:szCs w:val="18"/>
              </w:rPr>
              <w:t>,</w:t>
            </w:r>
            <w:r w:rsidRPr="00827945">
              <w:rPr>
                <w:rFonts w:asciiTheme="minorHAnsi" w:hAnsiTheme="minorHAnsi" w:cstheme="minorHAnsi"/>
                <w:bCs/>
                <w:color w:val="000000"/>
                <w:sz w:val="18"/>
                <w:szCs w:val="18"/>
              </w:rPr>
              <w:t>078</w:t>
            </w:r>
          </w:p>
        </w:tc>
        <w:tc>
          <w:tcPr>
            <w:tcW w:w="591" w:type="pct"/>
            <w:tcBorders>
              <w:top w:val="single" w:sz="4" w:space="0" w:color="auto"/>
              <w:left w:val="single" w:sz="4" w:space="0" w:color="auto"/>
              <w:bottom w:val="single" w:sz="4" w:space="0" w:color="auto"/>
              <w:right w:val="single" w:sz="4" w:space="0" w:color="auto"/>
            </w:tcBorders>
            <w:vAlign w:val="center"/>
            <w:hideMark/>
          </w:tcPr>
          <w:p w14:paraId="74E708DE" w14:textId="5ABF3435" w:rsidR="00035872" w:rsidRPr="00DE68A1" w:rsidRDefault="00035872" w:rsidP="00205FAB">
            <w:pPr>
              <w:bidi w:val="0"/>
              <w:jc w:val="right"/>
              <w:rPr>
                <w:rFonts w:asciiTheme="minorHAnsi" w:hAnsiTheme="minorHAnsi" w:cstheme="minorHAnsi"/>
                <w:bCs/>
                <w:color w:val="000000"/>
                <w:sz w:val="18"/>
                <w:szCs w:val="18"/>
              </w:rPr>
            </w:pPr>
            <w:r w:rsidRPr="00DE68A1">
              <w:rPr>
                <w:rFonts w:asciiTheme="minorHAnsi" w:hAnsiTheme="minorHAnsi" w:cstheme="minorHAnsi"/>
                <w:bCs/>
                <w:color w:val="000000"/>
                <w:sz w:val="18"/>
                <w:szCs w:val="18"/>
              </w:rPr>
              <w:t>14,314</w:t>
            </w:r>
          </w:p>
        </w:tc>
        <w:tc>
          <w:tcPr>
            <w:tcW w:w="848" w:type="pct"/>
            <w:tcBorders>
              <w:top w:val="single" w:sz="4" w:space="0" w:color="auto"/>
              <w:left w:val="single" w:sz="4" w:space="0" w:color="auto"/>
              <w:bottom w:val="single" w:sz="4" w:space="0" w:color="auto"/>
              <w:right w:val="single" w:sz="4" w:space="0" w:color="auto"/>
            </w:tcBorders>
            <w:vAlign w:val="center"/>
          </w:tcPr>
          <w:p w14:paraId="5E4C17DF" w14:textId="3110AF27" w:rsidR="00035872" w:rsidRPr="00DE68A1" w:rsidRDefault="00035872" w:rsidP="00205FAB">
            <w:pPr>
              <w:bidi w:val="0"/>
              <w:jc w:val="right"/>
              <w:rPr>
                <w:rFonts w:asciiTheme="minorHAnsi" w:hAnsiTheme="minorHAnsi" w:cstheme="minorHAnsi"/>
                <w:bCs/>
                <w:color w:val="000000"/>
                <w:sz w:val="18"/>
                <w:szCs w:val="18"/>
              </w:rPr>
            </w:pPr>
            <w:r w:rsidRPr="00827945">
              <w:rPr>
                <w:rFonts w:asciiTheme="minorHAnsi" w:hAnsiTheme="minorHAnsi" w:cstheme="minorHAnsi"/>
                <w:bCs/>
                <w:color w:val="000000"/>
                <w:sz w:val="18"/>
                <w:szCs w:val="18"/>
              </w:rPr>
              <w:t>145</w:t>
            </w:r>
            <w:r w:rsidR="00827945" w:rsidRPr="00827945">
              <w:rPr>
                <w:rFonts w:asciiTheme="minorHAnsi" w:hAnsiTheme="minorHAnsi" w:cstheme="minorHAnsi"/>
                <w:bCs/>
                <w:color w:val="000000"/>
                <w:sz w:val="18"/>
                <w:szCs w:val="18"/>
              </w:rPr>
              <w:t>,</w:t>
            </w:r>
            <w:r w:rsidRPr="00827945">
              <w:rPr>
                <w:rFonts w:asciiTheme="minorHAnsi" w:hAnsiTheme="minorHAnsi" w:cstheme="minorHAnsi"/>
                <w:bCs/>
                <w:color w:val="000000"/>
                <w:sz w:val="18"/>
                <w:szCs w:val="18"/>
              </w:rPr>
              <w:t>927</w:t>
            </w:r>
          </w:p>
        </w:tc>
        <w:tc>
          <w:tcPr>
            <w:tcW w:w="591" w:type="pct"/>
            <w:tcBorders>
              <w:top w:val="single" w:sz="4" w:space="0" w:color="auto"/>
              <w:left w:val="single" w:sz="4" w:space="0" w:color="auto"/>
              <w:bottom w:val="single" w:sz="4" w:space="0" w:color="auto"/>
              <w:right w:val="single" w:sz="4" w:space="0" w:color="auto"/>
            </w:tcBorders>
            <w:vAlign w:val="center"/>
            <w:hideMark/>
          </w:tcPr>
          <w:p w14:paraId="283C9D28" w14:textId="491C16D0" w:rsidR="00035872" w:rsidRPr="00DE68A1" w:rsidRDefault="00035872" w:rsidP="00205FAB">
            <w:pPr>
              <w:bidi w:val="0"/>
              <w:jc w:val="right"/>
              <w:rPr>
                <w:rFonts w:asciiTheme="minorHAnsi" w:hAnsiTheme="minorHAnsi" w:cstheme="minorHAnsi"/>
                <w:bCs/>
                <w:color w:val="000000"/>
                <w:sz w:val="18"/>
                <w:szCs w:val="18"/>
              </w:rPr>
            </w:pPr>
            <w:r w:rsidRPr="00DE68A1">
              <w:rPr>
                <w:rFonts w:asciiTheme="minorHAnsi" w:hAnsiTheme="minorHAnsi" w:cstheme="minorHAnsi"/>
                <w:bCs/>
                <w:color w:val="000000"/>
                <w:sz w:val="18"/>
                <w:szCs w:val="18"/>
              </w:rPr>
              <w:t>114,874</w:t>
            </w:r>
          </w:p>
        </w:tc>
        <w:tc>
          <w:tcPr>
            <w:tcW w:w="876" w:type="pct"/>
            <w:tcBorders>
              <w:top w:val="single" w:sz="4" w:space="0" w:color="auto"/>
              <w:left w:val="single" w:sz="4" w:space="0" w:color="auto"/>
              <w:bottom w:val="single" w:sz="4" w:space="0" w:color="auto"/>
              <w:right w:val="single" w:sz="4" w:space="0" w:color="auto"/>
            </w:tcBorders>
            <w:vAlign w:val="center"/>
          </w:tcPr>
          <w:p w14:paraId="3865C486" w14:textId="0840D40F" w:rsidR="00035872" w:rsidRPr="00DE68A1" w:rsidRDefault="00035872" w:rsidP="00205FAB">
            <w:pPr>
              <w:bidi w:val="0"/>
              <w:jc w:val="right"/>
              <w:rPr>
                <w:rFonts w:asciiTheme="minorHAnsi" w:hAnsiTheme="minorHAnsi" w:cstheme="minorHAnsi"/>
                <w:bCs/>
                <w:color w:val="000000"/>
                <w:sz w:val="18"/>
                <w:szCs w:val="18"/>
              </w:rPr>
            </w:pPr>
            <w:r w:rsidRPr="00827945">
              <w:rPr>
                <w:rFonts w:asciiTheme="minorHAnsi" w:hAnsiTheme="minorHAnsi" w:cstheme="minorHAnsi"/>
                <w:bCs/>
                <w:color w:val="000000"/>
                <w:sz w:val="18"/>
                <w:szCs w:val="18"/>
              </w:rPr>
              <w:t>156</w:t>
            </w:r>
            <w:r w:rsidR="00827945" w:rsidRPr="00827945">
              <w:rPr>
                <w:rFonts w:asciiTheme="minorHAnsi" w:hAnsiTheme="minorHAnsi" w:cstheme="minorHAnsi"/>
                <w:bCs/>
                <w:color w:val="000000"/>
                <w:sz w:val="18"/>
                <w:szCs w:val="18"/>
              </w:rPr>
              <w:t>,</w:t>
            </w:r>
            <w:r w:rsidRPr="00827945">
              <w:rPr>
                <w:rFonts w:asciiTheme="minorHAnsi" w:hAnsiTheme="minorHAnsi" w:cstheme="minorHAnsi"/>
                <w:bCs/>
                <w:color w:val="000000"/>
                <w:sz w:val="18"/>
                <w:szCs w:val="18"/>
              </w:rPr>
              <w:t>005</w:t>
            </w:r>
          </w:p>
        </w:tc>
        <w:tc>
          <w:tcPr>
            <w:tcW w:w="535" w:type="pct"/>
            <w:tcBorders>
              <w:top w:val="single" w:sz="4" w:space="0" w:color="auto"/>
              <w:left w:val="single" w:sz="4" w:space="0" w:color="auto"/>
              <w:bottom w:val="single" w:sz="4" w:space="0" w:color="auto"/>
              <w:right w:val="single" w:sz="4" w:space="0" w:color="auto"/>
            </w:tcBorders>
            <w:vAlign w:val="center"/>
          </w:tcPr>
          <w:p w14:paraId="33311CFA" w14:textId="2B990379" w:rsidR="00035872" w:rsidRPr="00DE68A1" w:rsidRDefault="00035872" w:rsidP="00205FAB">
            <w:pPr>
              <w:bidi w:val="0"/>
              <w:jc w:val="right"/>
              <w:rPr>
                <w:rFonts w:asciiTheme="minorHAnsi" w:hAnsiTheme="minorHAnsi" w:cstheme="minorHAnsi"/>
                <w:bCs/>
                <w:color w:val="000000"/>
                <w:sz w:val="18"/>
                <w:szCs w:val="18"/>
              </w:rPr>
            </w:pPr>
            <w:r w:rsidRPr="00DE68A1">
              <w:rPr>
                <w:rFonts w:asciiTheme="minorHAnsi" w:hAnsiTheme="minorHAnsi" w:cstheme="minorHAnsi"/>
                <w:bCs/>
                <w:color w:val="000000"/>
                <w:sz w:val="18"/>
                <w:szCs w:val="18"/>
              </w:rPr>
              <w:t>129,188</w:t>
            </w:r>
          </w:p>
        </w:tc>
      </w:tr>
      <w:tr w:rsidR="00FE67B3" w:rsidRPr="00DE68A1" w14:paraId="00E25B47" w14:textId="77777777" w:rsidTr="00FE67B3">
        <w:trPr>
          <w:trHeight w:val="182"/>
        </w:trPr>
        <w:tc>
          <w:tcPr>
            <w:tcW w:w="635" w:type="pct"/>
            <w:tcBorders>
              <w:top w:val="nil"/>
              <w:left w:val="single" w:sz="4" w:space="0" w:color="000000"/>
              <w:bottom w:val="single" w:sz="4" w:space="0" w:color="000000"/>
              <w:right w:val="single" w:sz="4" w:space="0" w:color="auto"/>
            </w:tcBorders>
            <w:shd w:val="clear" w:color="auto" w:fill="D9D9D9" w:themeFill="background1" w:themeFillShade="D9"/>
            <w:vAlign w:val="center"/>
            <w:hideMark/>
          </w:tcPr>
          <w:p w14:paraId="47C53C64" w14:textId="77777777" w:rsidR="00035872" w:rsidRPr="00DE68A1" w:rsidRDefault="00035872" w:rsidP="00205FAB">
            <w:pPr>
              <w:bidi w:val="0"/>
              <w:jc w:val="right"/>
              <w:rPr>
                <w:rFonts w:asciiTheme="minorHAnsi" w:hAnsiTheme="minorHAnsi" w:cstheme="minorHAnsi"/>
                <w:b/>
                <w:bCs/>
                <w:color w:val="000000" w:themeColor="text1"/>
                <w:sz w:val="18"/>
                <w:szCs w:val="18"/>
              </w:rPr>
            </w:pPr>
            <w:r w:rsidRPr="00DE68A1">
              <w:rPr>
                <w:rFonts w:asciiTheme="minorHAnsi" w:hAnsiTheme="minorHAnsi" w:cstheme="minorHAnsi"/>
                <w:b/>
                <w:bCs/>
                <w:color w:val="000000" w:themeColor="text1"/>
                <w:sz w:val="18"/>
                <w:szCs w:val="18"/>
              </w:rPr>
              <w:t>Balance at Year end</w:t>
            </w:r>
          </w:p>
        </w:tc>
        <w:tc>
          <w:tcPr>
            <w:tcW w:w="92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AAA144" w14:textId="3E01FD3A" w:rsidR="00035872" w:rsidRPr="00DE68A1" w:rsidRDefault="00035872" w:rsidP="00205FAB">
            <w:pPr>
              <w:bidi w:val="0"/>
              <w:jc w:val="right"/>
              <w:rPr>
                <w:rFonts w:asciiTheme="minorHAnsi" w:hAnsiTheme="minorHAnsi" w:cstheme="minorHAnsi"/>
                <w:b/>
                <w:bCs/>
                <w:color w:val="000000"/>
                <w:sz w:val="18"/>
                <w:szCs w:val="18"/>
              </w:rPr>
            </w:pPr>
            <w:r w:rsidRPr="00827945">
              <w:rPr>
                <w:rFonts w:asciiTheme="minorHAnsi" w:hAnsiTheme="minorHAnsi" w:cstheme="minorHAnsi"/>
                <w:b/>
                <w:bCs/>
                <w:color w:val="000000"/>
                <w:sz w:val="18"/>
                <w:szCs w:val="18"/>
              </w:rPr>
              <w:t>157</w:t>
            </w:r>
            <w:r w:rsidR="00827945" w:rsidRPr="00827945">
              <w:rPr>
                <w:rFonts w:asciiTheme="minorHAnsi" w:hAnsiTheme="minorHAnsi" w:cstheme="minorHAnsi"/>
                <w:b/>
                <w:bCs/>
                <w:color w:val="000000"/>
                <w:sz w:val="18"/>
                <w:szCs w:val="18"/>
              </w:rPr>
              <w:t>,</w:t>
            </w:r>
            <w:r w:rsidRPr="00827945">
              <w:rPr>
                <w:rFonts w:asciiTheme="minorHAnsi" w:hAnsiTheme="minorHAnsi" w:cstheme="minorHAnsi"/>
                <w:b/>
                <w:bCs/>
                <w:color w:val="000000"/>
                <w:sz w:val="18"/>
                <w:szCs w:val="18"/>
              </w:rPr>
              <w:t>592</w:t>
            </w:r>
          </w:p>
        </w:tc>
        <w:tc>
          <w:tcPr>
            <w:tcW w:w="5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F99ED8" w14:textId="578226F7" w:rsidR="00035872" w:rsidRPr="00DE68A1" w:rsidRDefault="00035872" w:rsidP="00205FAB">
            <w:pPr>
              <w:bidi w:val="0"/>
              <w:jc w:val="right"/>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182,686</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4FA91A" w14:textId="681C35B8" w:rsidR="00035872" w:rsidRPr="00DE68A1" w:rsidRDefault="00035872" w:rsidP="00205FAB">
            <w:pPr>
              <w:bidi w:val="0"/>
              <w:jc w:val="right"/>
              <w:rPr>
                <w:rFonts w:asciiTheme="minorHAnsi" w:hAnsiTheme="minorHAnsi" w:cstheme="minorHAnsi"/>
                <w:b/>
                <w:bCs/>
                <w:color w:val="000000"/>
                <w:sz w:val="18"/>
                <w:szCs w:val="18"/>
              </w:rPr>
            </w:pPr>
            <w:r w:rsidRPr="00827945">
              <w:rPr>
                <w:rFonts w:asciiTheme="minorHAnsi" w:hAnsiTheme="minorHAnsi" w:cstheme="minorHAnsi"/>
                <w:b/>
                <w:bCs/>
                <w:color w:val="000000"/>
                <w:sz w:val="18"/>
                <w:szCs w:val="18"/>
              </w:rPr>
              <w:t>261</w:t>
            </w:r>
            <w:r w:rsidR="00827945" w:rsidRPr="00827945">
              <w:rPr>
                <w:rFonts w:asciiTheme="minorHAnsi" w:hAnsiTheme="minorHAnsi" w:cstheme="minorHAnsi"/>
                <w:b/>
                <w:bCs/>
                <w:color w:val="000000"/>
                <w:sz w:val="18"/>
                <w:szCs w:val="18"/>
              </w:rPr>
              <w:t>,</w:t>
            </w:r>
            <w:r w:rsidRPr="00827945">
              <w:rPr>
                <w:rFonts w:asciiTheme="minorHAnsi" w:hAnsiTheme="minorHAnsi" w:cstheme="minorHAnsi"/>
                <w:b/>
                <w:bCs/>
                <w:color w:val="000000"/>
                <w:sz w:val="18"/>
                <w:szCs w:val="18"/>
              </w:rPr>
              <w:t>324</w:t>
            </w:r>
          </w:p>
        </w:tc>
        <w:tc>
          <w:tcPr>
            <w:tcW w:w="5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16FBBF" w14:textId="01813E51" w:rsidR="00035872" w:rsidRPr="00DE68A1" w:rsidRDefault="00035872" w:rsidP="00205FAB">
            <w:pPr>
              <w:bidi w:val="0"/>
              <w:jc w:val="right"/>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217,317</w:t>
            </w:r>
          </w:p>
        </w:tc>
        <w:tc>
          <w:tcPr>
            <w:tcW w:w="8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C4BC27" w14:textId="200FA842" w:rsidR="00035872" w:rsidRPr="00DE68A1" w:rsidRDefault="00035872" w:rsidP="00205FAB">
            <w:pPr>
              <w:bidi w:val="0"/>
              <w:jc w:val="right"/>
              <w:rPr>
                <w:rFonts w:asciiTheme="minorHAnsi" w:hAnsiTheme="minorHAnsi" w:cstheme="minorHAnsi"/>
                <w:b/>
                <w:bCs/>
                <w:color w:val="000000"/>
                <w:sz w:val="18"/>
                <w:szCs w:val="18"/>
              </w:rPr>
            </w:pPr>
            <w:r w:rsidRPr="00827945">
              <w:rPr>
                <w:rFonts w:asciiTheme="minorHAnsi" w:hAnsiTheme="minorHAnsi" w:cstheme="minorHAnsi"/>
                <w:b/>
                <w:bCs/>
                <w:color w:val="000000"/>
                <w:sz w:val="18"/>
                <w:szCs w:val="18"/>
              </w:rPr>
              <w:t>418</w:t>
            </w:r>
            <w:r w:rsidR="00827945" w:rsidRPr="00827945">
              <w:rPr>
                <w:rFonts w:asciiTheme="minorHAnsi" w:hAnsiTheme="minorHAnsi" w:cstheme="minorHAnsi"/>
                <w:b/>
                <w:bCs/>
                <w:color w:val="000000"/>
                <w:sz w:val="18"/>
                <w:szCs w:val="18"/>
              </w:rPr>
              <w:t>,</w:t>
            </w:r>
            <w:r w:rsidRPr="00827945">
              <w:rPr>
                <w:rFonts w:asciiTheme="minorHAnsi" w:hAnsiTheme="minorHAnsi" w:cstheme="minorHAnsi"/>
                <w:b/>
                <w:bCs/>
                <w:color w:val="000000"/>
                <w:sz w:val="18"/>
                <w:szCs w:val="18"/>
              </w:rPr>
              <w:t>916</w:t>
            </w:r>
          </w:p>
        </w:tc>
        <w:tc>
          <w:tcPr>
            <w:tcW w:w="5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73286A" w14:textId="2754A3A5" w:rsidR="00035872" w:rsidRPr="00DE68A1" w:rsidRDefault="00035872" w:rsidP="00205FAB">
            <w:pPr>
              <w:bidi w:val="0"/>
              <w:jc w:val="right"/>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400,003</w:t>
            </w:r>
          </w:p>
        </w:tc>
      </w:tr>
    </w:tbl>
    <w:p w14:paraId="06D47482" w14:textId="77777777" w:rsidR="0031506E" w:rsidRPr="00DE68A1" w:rsidRDefault="0031506E" w:rsidP="00205FAB">
      <w:pPr>
        <w:bidi w:val="0"/>
        <w:ind w:left="-360"/>
        <w:jc w:val="right"/>
        <w:rPr>
          <w:b/>
          <w:bCs/>
          <w:color w:val="0000FF"/>
          <w:sz w:val="22"/>
          <w:szCs w:val="22"/>
        </w:rPr>
      </w:pPr>
    </w:p>
    <w:p w14:paraId="1F865E2B" w14:textId="4E1C46D3" w:rsidR="00B07F25" w:rsidRPr="00DE68A1" w:rsidRDefault="00B07F25" w:rsidP="001F0B2F">
      <w:pPr>
        <w:bidi w:val="0"/>
        <w:ind w:left="284" w:right="239"/>
        <w:jc w:val="lowKashida"/>
        <w:rPr>
          <w:b/>
        </w:rPr>
      </w:pPr>
      <w:r w:rsidRPr="00DE68A1">
        <w:rPr>
          <w:b/>
        </w:rPr>
        <w:t>Loans and Advances Portfolio by Sector</w:t>
      </w:r>
      <w:r w:rsidR="00C35FD3" w:rsidRPr="00DE68A1">
        <w:rPr>
          <w:b/>
        </w:rPr>
        <w:t xml:space="preserve"> as on 31</w:t>
      </w:r>
      <w:r w:rsidR="00C35FD3" w:rsidRPr="00DE68A1">
        <w:rPr>
          <w:b/>
          <w:vertAlign w:val="superscript"/>
        </w:rPr>
        <w:t>st</w:t>
      </w:r>
      <w:r w:rsidR="00F52ADB" w:rsidRPr="00DE68A1">
        <w:rPr>
          <w:b/>
        </w:rPr>
        <w:t xml:space="preserve"> December</w:t>
      </w:r>
      <w:r w:rsidR="00C35FD3" w:rsidRPr="00DE68A1">
        <w:rPr>
          <w:b/>
        </w:rPr>
        <w:t xml:space="preserve"> </w:t>
      </w:r>
      <w:r w:rsidR="00E01875" w:rsidRPr="00DE68A1">
        <w:rPr>
          <w:b/>
        </w:rPr>
        <w:t>202</w:t>
      </w:r>
      <w:r w:rsidR="009B3450" w:rsidRPr="00DE68A1">
        <w:rPr>
          <w:b/>
        </w:rPr>
        <w:t>5</w:t>
      </w:r>
      <w:r w:rsidR="00C828BD" w:rsidRPr="00DE68A1">
        <w:rPr>
          <w:b/>
        </w:rPr>
        <w:t xml:space="preserve"> (Outstanding Balances in KD’000)</w:t>
      </w:r>
    </w:p>
    <w:p w14:paraId="00D76CC8" w14:textId="1D30F19A" w:rsidR="0031506E" w:rsidRPr="00DE68A1" w:rsidRDefault="00231274" w:rsidP="00FD0EAA">
      <w:pPr>
        <w:bidi w:val="0"/>
        <w:rPr>
          <w:color w:val="0000FF"/>
        </w:rPr>
      </w:pPr>
      <w:r w:rsidRPr="00DE68A1">
        <w:rPr>
          <w:color w:val="0000FF"/>
        </w:rPr>
        <w:t xml:space="preserve"> </w:t>
      </w:r>
      <w:r w:rsidR="00F2381E" w:rsidRPr="00DE68A1">
        <w:rPr>
          <w:color w:val="0000FF"/>
        </w:rPr>
        <w:t xml:space="preserve">            </w:t>
      </w:r>
    </w:p>
    <w:tbl>
      <w:tblPr>
        <w:tblpPr w:leftFromText="180" w:rightFromText="180" w:vertAnchor="text" w:horzAnchor="margin" w:tblpXSpec="right" w:tblpY="1"/>
        <w:tblOverlap w:val="never"/>
        <w:tblW w:w="8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1437"/>
        <w:gridCol w:w="1569"/>
        <w:gridCol w:w="1437"/>
        <w:gridCol w:w="1832"/>
      </w:tblGrid>
      <w:tr w:rsidR="00FC6CE4" w:rsidRPr="00DE68A1" w14:paraId="6AC4FCD9" w14:textId="77777777" w:rsidTr="00FC6CE4">
        <w:trPr>
          <w:trHeight w:val="212"/>
        </w:trPr>
        <w:tc>
          <w:tcPr>
            <w:tcW w:w="1957" w:type="dxa"/>
            <w:vMerge w:val="restart"/>
            <w:shd w:val="clear" w:color="auto" w:fill="D9D9D9" w:themeFill="background1" w:themeFillShade="D9"/>
            <w:vAlign w:val="center"/>
          </w:tcPr>
          <w:p w14:paraId="0F0ABD06" w14:textId="2552E934" w:rsidR="00FC6CE4" w:rsidRPr="00DE68A1" w:rsidRDefault="00FC6CE4" w:rsidP="005548B7">
            <w:pPr>
              <w:bidi w:val="0"/>
              <w:jc w:val="center"/>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Sector</w:t>
            </w:r>
          </w:p>
        </w:tc>
        <w:tc>
          <w:tcPr>
            <w:tcW w:w="3006" w:type="dxa"/>
            <w:gridSpan w:val="2"/>
            <w:shd w:val="clear" w:color="auto" w:fill="D9D9D9" w:themeFill="background1" w:themeFillShade="D9"/>
            <w:vAlign w:val="center"/>
          </w:tcPr>
          <w:p w14:paraId="34B56DD7" w14:textId="48AED390" w:rsidR="00FC6CE4" w:rsidRPr="00DE68A1" w:rsidRDefault="00FC6CE4" w:rsidP="007D5D50">
            <w:pPr>
              <w:bidi w:val="0"/>
              <w:jc w:val="center"/>
              <w:rPr>
                <w:rFonts w:asciiTheme="minorHAnsi" w:hAnsiTheme="minorHAnsi" w:cstheme="minorHAnsi"/>
                <w:b/>
                <w:bCs/>
                <w:color w:val="000000"/>
                <w:sz w:val="20"/>
                <w:szCs w:val="20"/>
              </w:rPr>
            </w:pPr>
            <w:r w:rsidRPr="00DE68A1">
              <w:rPr>
                <w:rFonts w:asciiTheme="minorHAnsi" w:hAnsiTheme="minorHAnsi" w:cstheme="minorHAnsi"/>
                <w:b/>
                <w:bCs/>
                <w:sz w:val="20"/>
                <w:szCs w:val="20"/>
              </w:rPr>
              <w:t>202</w:t>
            </w:r>
            <w:r w:rsidR="009B3450" w:rsidRPr="00DE68A1">
              <w:rPr>
                <w:rFonts w:asciiTheme="minorHAnsi" w:hAnsiTheme="minorHAnsi" w:cstheme="minorHAnsi"/>
                <w:b/>
                <w:bCs/>
                <w:sz w:val="20"/>
                <w:szCs w:val="20"/>
              </w:rPr>
              <w:t>5</w:t>
            </w:r>
          </w:p>
        </w:tc>
        <w:tc>
          <w:tcPr>
            <w:tcW w:w="3269" w:type="dxa"/>
            <w:gridSpan w:val="2"/>
            <w:shd w:val="clear" w:color="auto" w:fill="D9D9D9" w:themeFill="background1" w:themeFillShade="D9"/>
            <w:vAlign w:val="center"/>
          </w:tcPr>
          <w:p w14:paraId="51CE19EA" w14:textId="44A6EA79" w:rsidR="00FC6CE4" w:rsidRPr="00DE68A1" w:rsidRDefault="00FC6CE4" w:rsidP="007D5D50">
            <w:pPr>
              <w:bidi w:val="0"/>
              <w:jc w:val="center"/>
              <w:rPr>
                <w:rFonts w:asciiTheme="minorHAnsi" w:hAnsiTheme="minorHAnsi" w:cstheme="minorHAnsi"/>
                <w:color w:val="000000"/>
                <w:sz w:val="20"/>
                <w:szCs w:val="20"/>
              </w:rPr>
            </w:pPr>
            <w:r w:rsidRPr="00DE68A1">
              <w:rPr>
                <w:rFonts w:asciiTheme="minorHAnsi" w:hAnsiTheme="minorHAnsi" w:cstheme="minorHAnsi"/>
                <w:sz w:val="20"/>
                <w:szCs w:val="20"/>
              </w:rPr>
              <w:t xml:space="preserve"> 202</w:t>
            </w:r>
            <w:r w:rsidR="009B3450" w:rsidRPr="00DE68A1">
              <w:rPr>
                <w:rFonts w:asciiTheme="minorHAnsi" w:hAnsiTheme="minorHAnsi" w:cstheme="minorHAnsi"/>
                <w:sz w:val="20"/>
                <w:szCs w:val="20"/>
              </w:rPr>
              <w:t>4</w:t>
            </w:r>
          </w:p>
        </w:tc>
      </w:tr>
      <w:tr w:rsidR="00FC6CE4" w:rsidRPr="00DE68A1" w14:paraId="750C2A3D" w14:textId="77777777" w:rsidTr="00FC6CE4">
        <w:trPr>
          <w:trHeight w:val="92"/>
        </w:trPr>
        <w:tc>
          <w:tcPr>
            <w:tcW w:w="1957" w:type="dxa"/>
            <w:vMerge/>
            <w:shd w:val="clear" w:color="auto" w:fill="D9D9D9" w:themeFill="background1" w:themeFillShade="D9"/>
            <w:vAlign w:val="center"/>
            <w:hideMark/>
          </w:tcPr>
          <w:p w14:paraId="6374E59F" w14:textId="50A35724" w:rsidR="00FC6CE4" w:rsidRPr="00DE68A1" w:rsidRDefault="00FC6CE4" w:rsidP="007D5D50">
            <w:pPr>
              <w:bidi w:val="0"/>
              <w:jc w:val="center"/>
              <w:rPr>
                <w:rFonts w:asciiTheme="minorHAnsi" w:hAnsiTheme="minorHAnsi" w:cstheme="minorHAnsi"/>
                <w:b/>
                <w:bCs/>
                <w:color w:val="000000"/>
                <w:sz w:val="18"/>
                <w:szCs w:val="18"/>
              </w:rPr>
            </w:pPr>
          </w:p>
        </w:tc>
        <w:tc>
          <w:tcPr>
            <w:tcW w:w="1437" w:type="dxa"/>
            <w:shd w:val="clear" w:color="auto" w:fill="D9D9D9" w:themeFill="background1" w:themeFillShade="D9"/>
            <w:vAlign w:val="center"/>
            <w:hideMark/>
          </w:tcPr>
          <w:p w14:paraId="1699E65C" w14:textId="039831C4" w:rsidR="00FC6CE4" w:rsidRPr="00DE68A1" w:rsidRDefault="00FC6CE4" w:rsidP="007D5D50">
            <w:pPr>
              <w:bidi w:val="0"/>
              <w:jc w:val="center"/>
              <w:rPr>
                <w:rFonts w:asciiTheme="minorHAnsi" w:hAnsiTheme="minorHAnsi" w:cstheme="minorHAnsi"/>
                <w:b/>
                <w:bCs/>
                <w:color w:val="000000"/>
                <w:sz w:val="20"/>
                <w:szCs w:val="20"/>
              </w:rPr>
            </w:pPr>
            <w:r w:rsidRPr="00DE68A1">
              <w:rPr>
                <w:rFonts w:asciiTheme="minorHAnsi" w:hAnsiTheme="minorHAnsi" w:cstheme="minorHAnsi"/>
                <w:b/>
                <w:bCs/>
                <w:color w:val="000000"/>
                <w:sz w:val="20"/>
                <w:szCs w:val="20"/>
              </w:rPr>
              <w:t>Outstanding Balance</w:t>
            </w:r>
          </w:p>
        </w:tc>
        <w:tc>
          <w:tcPr>
            <w:tcW w:w="1569" w:type="dxa"/>
            <w:shd w:val="clear" w:color="auto" w:fill="D9D9D9" w:themeFill="background1" w:themeFillShade="D9"/>
            <w:vAlign w:val="center"/>
          </w:tcPr>
          <w:p w14:paraId="292719BC" w14:textId="77777777" w:rsidR="00FC6CE4" w:rsidRPr="00DE68A1" w:rsidRDefault="00FC6CE4" w:rsidP="007D5D50">
            <w:pPr>
              <w:bidi w:val="0"/>
              <w:jc w:val="center"/>
              <w:rPr>
                <w:rFonts w:asciiTheme="minorHAnsi" w:hAnsiTheme="minorHAnsi" w:cstheme="minorHAnsi"/>
                <w:b/>
                <w:bCs/>
                <w:color w:val="000000"/>
                <w:sz w:val="20"/>
                <w:szCs w:val="20"/>
              </w:rPr>
            </w:pPr>
            <w:r w:rsidRPr="00DE68A1">
              <w:rPr>
                <w:rFonts w:asciiTheme="minorHAnsi" w:hAnsiTheme="minorHAnsi" w:cstheme="minorHAnsi"/>
                <w:b/>
                <w:bCs/>
                <w:color w:val="000000"/>
                <w:sz w:val="20"/>
                <w:szCs w:val="20"/>
              </w:rPr>
              <w:t>As a % of Total Exposure</w:t>
            </w:r>
          </w:p>
        </w:tc>
        <w:tc>
          <w:tcPr>
            <w:tcW w:w="1437" w:type="dxa"/>
            <w:shd w:val="clear" w:color="auto" w:fill="D9D9D9" w:themeFill="background1" w:themeFillShade="D9"/>
            <w:vAlign w:val="center"/>
            <w:hideMark/>
          </w:tcPr>
          <w:p w14:paraId="5C13119E" w14:textId="1D7A1138" w:rsidR="00FC6CE4" w:rsidRPr="00DE68A1" w:rsidRDefault="00FC6CE4" w:rsidP="007D5D50">
            <w:pPr>
              <w:bidi w:val="0"/>
              <w:jc w:val="center"/>
              <w:rPr>
                <w:rFonts w:asciiTheme="minorHAnsi" w:hAnsiTheme="minorHAnsi" w:cstheme="minorHAnsi"/>
                <w:color w:val="000000"/>
                <w:sz w:val="20"/>
                <w:szCs w:val="20"/>
              </w:rPr>
            </w:pPr>
            <w:r w:rsidRPr="00DE68A1">
              <w:rPr>
                <w:rFonts w:asciiTheme="minorHAnsi" w:hAnsiTheme="minorHAnsi" w:cstheme="minorHAnsi"/>
                <w:color w:val="000000"/>
                <w:sz w:val="20"/>
                <w:szCs w:val="20"/>
              </w:rPr>
              <w:t>Outstanding Balance</w:t>
            </w:r>
          </w:p>
        </w:tc>
        <w:tc>
          <w:tcPr>
            <w:tcW w:w="1832" w:type="dxa"/>
            <w:shd w:val="clear" w:color="auto" w:fill="D9D9D9" w:themeFill="background1" w:themeFillShade="D9"/>
            <w:vAlign w:val="center"/>
          </w:tcPr>
          <w:p w14:paraId="6297CFCF" w14:textId="77777777" w:rsidR="00FC6CE4" w:rsidRPr="00DE68A1" w:rsidRDefault="00FC6CE4" w:rsidP="007D5D50">
            <w:pPr>
              <w:bidi w:val="0"/>
              <w:jc w:val="center"/>
              <w:rPr>
                <w:rFonts w:asciiTheme="minorHAnsi" w:hAnsiTheme="minorHAnsi" w:cstheme="minorHAnsi"/>
                <w:color w:val="000000"/>
                <w:sz w:val="20"/>
                <w:szCs w:val="20"/>
              </w:rPr>
            </w:pPr>
            <w:r w:rsidRPr="00DE68A1">
              <w:rPr>
                <w:rFonts w:asciiTheme="minorHAnsi" w:hAnsiTheme="minorHAnsi" w:cstheme="minorHAnsi"/>
                <w:color w:val="000000"/>
                <w:sz w:val="20"/>
                <w:szCs w:val="20"/>
              </w:rPr>
              <w:t>As a % of Total Exposure</w:t>
            </w:r>
          </w:p>
        </w:tc>
      </w:tr>
      <w:tr w:rsidR="000466AD" w:rsidRPr="00DE68A1" w14:paraId="07634719" w14:textId="77777777" w:rsidTr="000466AD">
        <w:trPr>
          <w:trHeight w:val="135"/>
        </w:trPr>
        <w:tc>
          <w:tcPr>
            <w:tcW w:w="1957" w:type="dxa"/>
            <w:vAlign w:val="center"/>
            <w:hideMark/>
          </w:tcPr>
          <w:p w14:paraId="2E300502" w14:textId="77777777" w:rsidR="000466AD" w:rsidRPr="00DE68A1" w:rsidRDefault="000466AD" w:rsidP="000466AD">
            <w:pPr>
              <w:bidi w:val="0"/>
              <w:spacing w:line="276" w:lineRule="auto"/>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Chemicals</w:t>
            </w:r>
          </w:p>
        </w:tc>
        <w:tc>
          <w:tcPr>
            <w:tcW w:w="1437" w:type="dxa"/>
            <w:vAlign w:val="center"/>
          </w:tcPr>
          <w:p w14:paraId="033CEE94" w14:textId="1C5DBBC8"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sz w:val="20"/>
                <w:szCs w:val="20"/>
              </w:rPr>
              <w:t>20,699</w:t>
            </w:r>
          </w:p>
        </w:tc>
        <w:tc>
          <w:tcPr>
            <w:tcW w:w="1569" w:type="dxa"/>
            <w:vAlign w:val="center"/>
          </w:tcPr>
          <w:p w14:paraId="539956DE" w14:textId="78ADC1F7"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color w:val="333333"/>
                <w:sz w:val="20"/>
                <w:szCs w:val="20"/>
              </w:rPr>
              <w:t>5.23%</w:t>
            </w:r>
          </w:p>
        </w:tc>
        <w:tc>
          <w:tcPr>
            <w:tcW w:w="1437" w:type="dxa"/>
            <w:vAlign w:val="center"/>
          </w:tcPr>
          <w:p w14:paraId="3CA657D8" w14:textId="1F66E6A3"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18,576</w:t>
            </w:r>
          </w:p>
        </w:tc>
        <w:tc>
          <w:tcPr>
            <w:tcW w:w="1832" w:type="dxa"/>
            <w:vAlign w:val="center"/>
          </w:tcPr>
          <w:p w14:paraId="5484D81A" w14:textId="59152878"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4.98%</w:t>
            </w:r>
          </w:p>
        </w:tc>
      </w:tr>
      <w:tr w:rsidR="000466AD" w:rsidRPr="00DE68A1" w14:paraId="46BC8901" w14:textId="77777777" w:rsidTr="000466AD">
        <w:trPr>
          <w:trHeight w:val="145"/>
        </w:trPr>
        <w:tc>
          <w:tcPr>
            <w:tcW w:w="1957" w:type="dxa"/>
            <w:vAlign w:val="center"/>
            <w:hideMark/>
          </w:tcPr>
          <w:p w14:paraId="06AB41E8" w14:textId="77777777" w:rsidR="000466AD" w:rsidRPr="00DE68A1" w:rsidRDefault="000466AD" w:rsidP="000466AD">
            <w:pPr>
              <w:bidi w:val="0"/>
              <w:spacing w:line="276" w:lineRule="auto"/>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Food &amp; Beverages</w:t>
            </w:r>
          </w:p>
        </w:tc>
        <w:tc>
          <w:tcPr>
            <w:tcW w:w="1437" w:type="dxa"/>
            <w:vAlign w:val="center"/>
          </w:tcPr>
          <w:p w14:paraId="730C211E" w14:textId="502B11B5"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sz w:val="20"/>
                <w:szCs w:val="20"/>
              </w:rPr>
              <w:t>21,690</w:t>
            </w:r>
          </w:p>
        </w:tc>
        <w:tc>
          <w:tcPr>
            <w:tcW w:w="1569" w:type="dxa"/>
            <w:vAlign w:val="center"/>
          </w:tcPr>
          <w:p w14:paraId="335F72D0" w14:textId="71552FF2"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color w:val="333333"/>
                <w:sz w:val="20"/>
                <w:szCs w:val="20"/>
              </w:rPr>
              <w:t>5.49%</w:t>
            </w:r>
          </w:p>
        </w:tc>
        <w:tc>
          <w:tcPr>
            <w:tcW w:w="1437" w:type="dxa"/>
            <w:vAlign w:val="center"/>
          </w:tcPr>
          <w:p w14:paraId="6FC4533A" w14:textId="41B059FC"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23,748</w:t>
            </w:r>
          </w:p>
        </w:tc>
        <w:tc>
          <w:tcPr>
            <w:tcW w:w="1832" w:type="dxa"/>
            <w:vAlign w:val="center"/>
          </w:tcPr>
          <w:p w14:paraId="59B9C4B7" w14:textId="0572F532"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7.30%</w:t>
            </w:r>
          </w:p>
        </w:tc>
      </w:tr>
      <w:tr w:rsidR="000466AD" w:rsidRPr="00DE68A1" w14:paraId="581AB8AD" w14:textId="77777777" w:rsidTr="000466AD">
        <w:trPr>
          <w:trHeight w:val="282"/>
        </w:trPr>
        <w:tc>
          <w:tcPr>
            <w:tcW w:w="1957" w:type="dxa"/>
            <w:vAlign w:val="center"/>
            <w:hideMark/>
          </w:tcPr>
          <w:p w14:paraId="49E0D41D" w14:textId="77777777" w:rsidR="000466AD" w:rsidRPr="00DE68A1" w:rsidRDefault="000466AD" w:rsidP="000466AD">
            <w:pPr>
              <w:bidi w:val="0"/>
              <w:spacing w:line="276" w:lineRule="auto"/>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Metal Products &amp; Engineering</w:t>
            </w:r>
          </w:p>
        </w:tc>
        <w:tc>
          <w:tcPr>
            <w:tcW w:w="1437" w:type="dxa"/>
            <w:vAlign w:val="center"/>
          </w:tcPr>
          <w:p w14:paraId="513633D3" w14:textId="55E510E7"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sz w:val="20"/>
                <w:szCs w:val="20"/>
              </w:rPr>
              <w:t>164,279</w:t>
            </w:r>
          </w:p>
        </w:tc>
        <w:tc>
          <w:tcPr>
            <w:tcW w:w="1569" w:type="dxa"/>
            <w:vAlign w:val="center"/>
          </w:tcPr>
          <w:p w14:paraId="276F16F2" w14:textId="3AEC1F82"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color w:val="333333"/>
                <w:sz w:val="20"/>
                <w:szCs w:val="20"/>
              </w:rPr>
              <w:t>41.54%</w:t>
            </w:r>
          </w:p>
        </w:tc>
        <w:tc>
          <w:tcPr>
            <w:tcW w:w="1437" w:type="dxa"/>
            <w:vAlign w:val="center"/>
          </w:tcPr>
          <w:p w14:paraId="6BD00DF7" w14:textId="534F0C66"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153,932</w:t>
            </w:r>
          </w:p>
        </w:tc>
        <w:tc>
          <w:tcPr>
            <w:tcW w:w="1832" w:type="dxa"/>
            <w:vAlign w:val="center"/>
          </w:tcPr>
          <w:p w14:paraId="27B4A495" w14:textId="33B051BD"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42.11%</w:t>
            </w:r>
          </w:p>
        </w:tc>
      </w:tr>
      <w:tr w:rsidR="000466AD" w:rsidRPr="00DE68A1" w14:paraId="4BD46650" w14:textId="77777777" w:rsidTr="000466AD">
        <w:trPr>
          <w:trHeight w:val="282"/>
        </w:trPr>
        <w:tc>
          <w:tcPr>
            <w:tcW w:w="1957" w:type="dxa"/>
            <w:vAlign w:val="center"/>
            <w:hideMark/>
          </w:tcPr>
          <w:p w14:paraId="142BA8CE" w14:textId="77777777" w:rsidR="000466AD" w:rsidRPr="00DE68A1" w:rsidRDefault="000466AD" w:rsidP="000466AD">
            <w:pPr>
              <w:bidi w:val="0"/>
              <w:spacing w:line="276" w:lineRule="auto"/>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Construction &amp; Building Material</w:t>
            </w:r>
          </w:p>
        </w:tc>
        <w:tc>
          <w:tcPr>
            <w:tcW w:w="1437" w:type="dxa"/>
            <w:vAlign w:val="center"/>
          </w:tcPr>
          <w:p w14:paraId="69F7A626" w14:textId="08E8FF0B"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sz w:val="20"/>
                <w:szCs w:val="20"/>
              </w:rPr>
              <w:t>80,555</w:t>
            </w:r>
          </w:p>
        </w:tc>
        <w:tc>
          <w:tcPr>
            <w:tcW w:w="1569" w:type="dxa"/>
            <w:vAlign w:val="center"/>
          </w:tcPr>
          <w:p w14:paraId="5CADEC4D" w14:textId="787D23D0"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color w:val="333333"/>
                <w:sz w:val="20"/>
                <w:szCs w:val="20"/>
              </w:rPr>
              <w:t>20.37%</w:t>
            </w:r>
          </w:p>
        </w:tc>
        <w:tc>
          <w:tcPr>
            <w:tcW w:w="1437" w:type="dxa"/>
            <w:vAlign w:val="center"/>
          </w:tcPr>
          <w:p w14:paraId="174F206A" w14:textId="0B53506F"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79,165</w:t>
            </w:r>
          </w:p>
        </w:tc>
        <w:tc>
          <w:tcPr>
            <w:tcW w:w="1832" w:type="dxa"/>
            <w:vAlign w:val="center"/>
          </w:tcPr>
          <w:p w14:paraId="519B3F33" w14:textId="1AEECD51"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20.11%</w:t>
            </w:r>
          </w:p>
        </w:tc>
      </w:tr>
      <w:tr w:rsidR="000466AD" w:rsidRPr="00DE68A1" w14:paraId="5BDC749E" w14:textId="77777777" w:rsidTr="000466AD">
        <w:trPr>
          <w:trHeight w:val="282"/>
        </w:trPr>
        <w:tc>
          <w:tcPr>
            <w:tcW w:w="1957" w:type="dxa"/>
            <w:vAlign w:val="center"/>
            <w:hideMark/>
          </w:tcPr>
          <w:p w14:paraId="2E65DC49" w14:textId="77777777" w:rsidR="000466AD" w:rsidRPr="00DE68A1" w:rsidRDefault="000466AD" w:rsidP="000466AD">
            <w:pPr>
              <w:bidi w:val="0"/>
              <w:spacing w:line="276" w:lineRule="auto"/>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Furniture</w:t>
            </w:r>
          </w:p>
        </w:tc>
        <w:tc>
          <w:tcPr>
            <w:tcW w:w="1437" w:type="dxa"/>
            <w:vAlign w:val="center"/>
          </w:tcPr>
          <w:p w14:paraId="14C0B277" w14:textId="54E6BDD1"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sz w:val="20"/>
                <w:szCs w:val="20"/>
              </w:rPr>
              <w:t>4,987</w:t>
            </w:r>
          </w:p>
        </w:tc>
        <w:tc>
          <w:tcPr>
            <w:tcW w:w="1569" w:type="dxa"/>
            <w:vAlign w:val="center"/>
          </w:tcPr>
          <w:p w14:paraId="3F8B3FD2" w14:textId="2053A61C"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color w:val="333333"/>
                <w:sz w:val="20"/>
                <w:szCs w:val="20"/>
              </w:rPr>
              <w:t>1.26%</w:t>
            </w:r>
          </w:p>
        </w:tc>
        <w:tc>
          <w:tcPr>
            <w:tcW w:w="1437" w:type="dxa"/>
            <w:vAlign w:val="center"/>
          </w:tcPr>
          <w:p w14:paraId="5C1C24CB" w14:textId="4EFC4873"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5,098</w:t>
            </w:r>
          </w:p>
        </w:tc>
        <w:tc>
          <w:tcPr>
            <w:tcW w:w="1832" w:type="dxa"/>
            <w:vAlign w:val="center"/>
          </w:tcPr>
          <w:p w14:paraId="3EBC60DB" w14:textId="7A1F2326"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1.32%</w:t>
            </w:r>
          </w:p>
        </w:tc>
      </w:tr>
      <w:tr w:rsidR="000466AD" w:rsidRPr="00DE68A1" w14:paraId="60F95640" w14:textId="77777777" w:rsidTr="000466AD">
        <w:trPr>
          <w:trHeight w:val="72"/>
        </w:trPr>
        <w:tc>
          <w:tcPr>
            <w:tcW w:w="1957" w:type="dxa"/>
            <w:vAlign w:val="center"/>
            <w:hideMark/>
          </w:tcPr>
          <w:p w14:paraId="3372C10B" w14:textId="77777777" w:rsidR="000466AD" w:rsidRPr="00DE68A1" w:rsidRDefault="000466AD" w:rsidP="000466AD">
            <w:pPr>
              <w:bidi w:val="0"/>
              <w:spacing w:line="276" w:lineRule="auto"/>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Textile</w:t>
            </w:r>
          </w:p>
        </w:tc>
        <w:tc>
          <w:tcPr>
            <w:tcW w:w="1437" w:type="dxa"/>
            <w:vAlign w:val="center"/>
          </w:tcPr>
          <w:p w14:paraId="54648F32" w14:textId="111414CE"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sz w:val="20"/>
                <w:szCs w:val="20"/>
              </w:rPr>
              <w:t>605</w:t>
            </w:r>
          </w:p>
        </w:tc>
        <w:tc>
          <w:tcPr>
            <w:tcW w:w="1569" w:type="dxa"/>
            <w:vAlign w:val="center"/>
          </w:tcPr>
          <w:p w14:paraId="30D666F4" w14:textId="73B5489B"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color w:val="333333"/>
                <w:sz w:val="20"/>
                <w:szCs w:val="20"/>
              </w:rPr>
              <w:t>0.15%</w:t>
            </w:r>
          </w:p>
        </w:tc>
        <w:tc>
          <w:tcPr>
            <w:tcW w:w="1437" w:type="dxa"/>
            <w:vAlign w:val="center"/>
          </w:tcPr>
          <w:p w14:paraId="2C3866CC" w14:textId="034D21EA"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602</w:t>
            </w:r>
          </w:p>
        </w:tc>
        <w:tc>
          <w:tcPr>
            <w:tcW w:w="1832" w:type="dxa"/>
            <w:vAlign w:val="center"/>
          </w:tcPr>
          <w:p w14:paraId="0ACC76E1" w14:textId="0EB6028B"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0.14%</w:t>
            </w:r>
          </w:p>
        </w:tc>
      </w:tr>
      <w:tr w:rsidR="000466AD" w:rsidRPr="00DE68A1" w14:paraId="3555797E" w14:textId="77777777" w:rsidTr="000466AD">
        <w:trPr>
          <w:trHeight w:val="72"/>
        </w:trPr>
        <w:tc>
          <w:tcPr>
            <w:tcW w:w="1957" w:type="dxa"/>
            <w:vAlign w:val="center"/>
            <w:hideMark/>
          </w:tcPr>
          <w:p w14:paraId="586EBE26" w14:textId="77777777" w:rsidR="000466AD" w:rsidRPr="00DE68A1" w:rsidRDefault="000466AD" w:rsidP="000466AD">
            <w:pPr>
              <w:bidi w:val="0"/>
              <w:spacing w:line="276" w:lineRule="auto"/>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Paper &amp; Printing</w:t>
            </w:r>
          </w:p>
        </w:tc>
        <w:tc>
          <w:tcPr>
            <w:tcW w:w="1437" w:type="dxa"/>
            <w:vAlign w:val="center"/>
          </w:tcPr>
          <w:p w14:paraId="2B819D09" w14:textId="1B2035B8"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sz w:val="20"/>
                <w:szCs w:val="20"/>
              </w:rPr>
              <w:t>6299</w:t>
            </w:r>
          </w:p>
        </w:tc>
        <w:tc>
          <w:tcPr>
            <w:tcW w:w="1569" w:type="dxa"/>
            <w:vAlign w:val="center"/>
          </w:tcPr>
          <w:p w14:paraId="267224F5" w14:textId="3E4F19C1"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color w:val="333333"/>
                <w:sz w:val="20"/>
                <w:szCs w:val="20"/>
              </w:rPr>
              <w:t>1.59%</w:t>
            </w:r>
          </w:p>
        </w:tc>
        <w:tc>
          <w:tcPr>
            <w:tcW w:w="1437" w:type="dxa"/>
            <w:vAlign w:val="center"/>
          </w:tcPr>
          <w:p w14:paraId="040097CF" w14:textId="471ED074"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5,988</w:t>
            </w:r>
          </w:p>
        </w:tc>
        <w:tc>
          <w:tcPr>
            <w:tcW w:w="1832" w:type="dxa"/>
            <w:vAlign w:val="center"/>
          </w:tcPr>
          <w:p w14:paraId="25CC9AA5" w14:textId="6C463619"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1.64%</w:t>
            </w:r>
          </w:p>
        </w:tc>
      </w:tr>
      <w:tr w:rsidR="000466AD" w:rsidRPr="00DE68A1" w14:paraId="657C7F72" w14:textId="77777777" w:rsidTr="000466AD">
        <w:trPr>
          <w:trHeight w:val="72"/>
        </w:trPr>
        <w:tc>
          <w:tcPr>
            <w:tcW w:w="1957" w:type="dxa"/>
            <w:vAlign w:val="center"/>
            <w:hideMark/>
          </w:tcPr>
          <w:p w14:paraId="2B22B08A" w14:textId="77777777" w:rsidR="000466AD" w:rsidRPr="00DE68A1" w:rsidRDefault="000466AD" w:rsidP="000466AD">
            <w:pPr>
              <w:bidi w:val="0"/>
              <w:spacing w:line="276" w:lineRule="auto"/>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Government</w:t>
            </w:r>
          </w:p>
        </w:tc>
        <w:tc>
          <w:tcPr>
            <w:tcW w:w="1437" w:type="dxa"/>
            <w:vAlign w:val="center"/>
          </w:tcPr>
          <w:p w14:paraId="6CDB68D5" w14:textId="10C5AF42"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sz w:val="20"/>
                <w:szCs w:val="20"/>
              </w:rPr>
              <w:t>0</w:t>
            </w:r>
          </w:p>
        </w:tc>
        <w:tc>
          <w:tcPr>
            <w:tcW w:w="1569" w:type="dxa"/>
            <w:vAlign w:val="center"/>
          </w:tcPr>
          <w:p w14:paraId="3851B741" w14:textId="2231D696"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color w:val="333333"/>
                <w:sz w:val="20"/>
                <w:szCs w:val="20"/>
              </w:rPr>
              <w:t>0.00%</w:t>
            </w:r>
          </w:p>
        </w:tc>
        <w:tc>
          <w:tcPr>
            <w:tcW w:w="1437" w:type="dxa"/>
            <w:vAlign w:val="center"/>
          </w:tcPr>
          <w:p w14:paraId="31F00677" w14:textId="12740A00"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0</w:t>
            </w:r>
          </w:p>
        </w:tc>
        <w:tc>
          <w:tcPr>
            <w:tcW w:w="1832" w:type="dxa"/>
            <w:vAlign w:val="center"/>
          </w:tcPr>
          <w:p w14:paraId="6034D281" w14:textId="08B04D50"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0%</w:t>
            </w:r>
          </w:p>
        </w:tc>
      </w:tr>
      <w:tr w:rsidR="000466AD" w:rsidRPr="00DE68A1" w14:paraId="2528EFEE" w14:textId="77777777" w:rsidTr="000466AD">
        <w:trPr>
          <w:trHeight w:val="72"/>
        </w:trPr>
        <w:tc>
          <w:tcPr>
            <w:tcW w:w="1957" w:type="dxa"/>
            <w:vAlign w:val="center"/>
            <w:hideMark/>
          </w:tcPr>
          <w:p w14:paraId="7432176C" w14:textId="77777777" w:rsidR="000466AD" w:rsidRPr="00DE68A1" w:rsidRDefault="000466AD" w:rsidP="000466AD">
            <w:pPr>
              <w:bidi w:val="0"/>
              <w:spacing w:line="276" w:lineRule="auto"/>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Oil and Gas</w:t>
            </w:r>
          </w:p>
        </w:tc>
        <w:tc>
          <w:tcPr>
            <w:tcW w:w="1437" w:type="dxa"/>
            <w:vAlign w:val="center"/>
          </w:tcPr>
          <w:p w14:paraId="40B9705D" w14:textId="7CD5A269"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sz w:val="20"/>
                <w:szCs w:val="20"/>
              </w:rPr>
              <w:t>95,933</w:t>
            </w:r>
          </w:p>
        </w:tc>
        <w:tc>
          <w:tcPr>
            <w:tcW w:w="1569" w:type="dxa"/>
            <w:vAlign w:val="center"/>
          </w:tcPr>
          <w:p w14:paraId="25186971" w14:textId="0066FC82"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color w:val="333333"/>
                <w:sz w:val="20"/>
                <w:szCs w:val="20"/>
              </w:rPr>
              <w:t>24.26%</w:t>
            </w:r>
          </w:p>
        </w:tc>
        <w:tc>
          <w:tcPr>
            <w:tcW w:w="1437" w:type="dxa"/>
            <w:vAlign w:val="center"/>
          </w:tcPr>
          <w:p w14:paraId="3491DCBB" w14:textId="48960D28"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79,196</w:t>
            </w:r>
          </w:p>
        </w:tc>
        <w:tc>
          <w:tcPr>
            <w:tcW w:w="1832" w:type="dxa"/>
            <w:vAlign w:val="center"/>
          </w:tcPr>
          <w:p w14:paraId="5ACDD31D" w14:textId="4CFB9F2F"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22.02%</w:t>
            </w:r>
          </w:p>
        </w:tc>
      </w:tr>
      <w:tr w:rsidR="000466AD" w:rsidRPr="00DE68A1" w14:paraId="23B4311D" w14:textId="77777777" w:rsidTr="000466AD">
        <w:trPr>
          <w:trHeight w:val="72"/>
        </w:trPr>
        <w:tc>
          <w:tcPr>
            <w:tcW w:w="1957" w:type="dxa"/>
            <w:vAlign w:val="center"/>
            <w:hideMark/>
          </w:tcPr>
          <w:p w14:paraId="2E89429F" w14:textId="77777777" w:rsidR="000466AD" w:rsidRPr="00DE68A1" w:rsidRDefault="000466AD" w:rsidP="000466AD">
            <w:pPr>
              <w:bidi w:val="0"/>
              <w:spacing w:line="276" w:lineRule="auto"/>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Agriculture and Fishing</w:t>
            </w:r>
          </w:p>
        </w:tc>
        <w:tc>
          <w:tcPr>
            <w:tcW w:w="1437" w:type="dxa"/>
            <w:vAlign w:val="center"/>
          </w:tcPr>
          <w:p w14:paraId="62CD9A56" w14:textId="5210AE5B"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sz w:val="20"/>
                <w:szCs w:val="20"/>
              </w:rPr>
              <w:t>0</w:t>
            </w:r>
          </w:p>
        </w:tc>
        <w:tc>
          <w:tcPr>
            <w:tcW w:w="1569" w:type="dxa"/>
            <w:vAlign w:val="center"/>
          </w:tcPr>
          <w:p w14:paraId="04A6C783" w14:textId="18B9E6E5"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color w:val="333333"/>
                <w:sz w:val="20"/>
                <w:szCs w:val="20"/>
              </w:rPr>
              <w:t>0.00%</w:t>
            </w:r>
          </w:p>
        </w:tc>
        <w:tc>
          <w:tcPr>
            <w:tcW w:w="1437" w:type="dxa"/>
            <w:vAlign w:val="center"/>
          </w:tcPr>
          <w:p w14:paraId="0D40A025" w14:textId="25B0C825"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1,698</w:t>
            </w:r>
          </w:p>
        </w:tc>
        <w:tc>
          <w:tcPr>
            <w:tcW w:w="1832" w:type="dxa"/>
            <w:vAlign w:val="center"/>
          </w:tcPr>
          <w:p w14:paraId="034C5DB9" w14:textId="31EE74B3"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0%</w:t>
            </w:r>
          </w:p>
        </w:tc>
      </w:tr>
      <w:tr w:rsidR="000466AD" w:rsidRPr="00DE68A1" w14:paraId="0AE60196" w14:textId="77777777" w:rsidTr="000466AD">
        <w:trPr>
          <w:trHeight w:val="72"/>
        </w:trPr>
        <w:tc>
          <w:tcPr>
            <w:tcW w:w="1957" w:type="dxa"/>
            <w:vAlign w:val="center"/>
            <w:hideMark/>
          </w:tcPr>
          <w:p w14:paraId="52CCF423" w14:textId="4B6754FB" w:rsidR="000466AD" w:rsidRPr="00DE68A1" w:rsidRDefault="000466AD" w:rsidP="000466AD">
            <w:pPr>
              <w:bidi w:val="0"/>
              <w:spacing w:line="276" w:lineRule="auto"/>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Others (non-financial)</w:t>
            </w:r>
          </w:p>
        </w:tc>
        <w:tc>
          <w:tcPr>
            <w:tcW w:w="1437" w:type="dxa"/>
            <w:vAlign w:val="center"/>
          </w:tcPr>
          <w:p w14:paraId="1BBEC1F4" w14:textId="74071040"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sz w:val="20"/>
                <w:szCs w:val="20"/>
              </w:rPr>
              <w:t>0</w:t>
            </w:r>
          </w:p>
        </w:tc>
        <w:tc>
          <w:tcPr>
            <w:tcW w:w="1569" w:type="dxa"/>
            <w:vAlign w:val="center"/>
          </w:tcPr>
          <w:p w14:paraId="00235BF3" w14:textId="3B9E3CE7"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color w:val="333333"/>
                <w:sz w:val="20"/>
                <w:szCs w:val="20"/>
              </w:rPr>
              <w:t>0.00%</w:t>
            </w:r>
          </w:p>
        </w:tc>
        <w:tc>
          <w:tcPr>
            <w:tcW w:w="1437" w:type="dxa"/>
            <w:vAlign w:val="center"/>
          </w:tcPr>
          <w:p w14:paraId="678B367E" w14:textId="5C3E7162" w:rsidR="000466AD" w:rsidRPr="00DE68A1" w:rsidRDefault="000466AD" w:rsidP="00205FAB">
            <w:pPr>
              <w:bidi w:val="0"/>
              <w:spacing w:line="276" w:lineRule="auto"/>
              <w:jc w:val="right"/>
              <w:rPr>
                <w:rFonts w:asciiTheme="minorHAnsi" w:hAnsiTheme="minorHAnsi" w:cstheme="minorHAnsi"/>
                <w:color w:val="333333"/>
                <w:sz w:val="20"/>
                <w:szCs w:val="20"/>
              </w:rPr>
            </w:pPr>
            <w:commentRangeStart w:id="7"/>
            <w:commentRangeStart w:id="8"/>
            <w:r w:rsidRPr="00DE68A1">
              <w:rPr>
                <w:rFonts w:asciiTheme="minorHAnsi" w:hAnsiTheme="minorHAnsi" w:cstheme="minorHAnsi"/>
                <w:color w:val="333333"/>
                <w:sz w:val="20"/>
                <w:szCs w:val="20"/>
              </w:rPr>
              <w:t>97</w:t>
            </w:r>
            <w:r w:rsidR="003E6E7C">
              <w:rPr>
                <w:rFonts w:asciiTheme="minorHAnsi" w:hAnsiTheme="minorHAnsi" w:cstheme="minorHAnsi"/>
                <w:color w:val="333333"/>
                <w:sz w:val="20"/>
                <w:szCs w:val="20"/>
              </w:rPr>
              <w:t>9</w:t>
            </w:r>
            <w:commentRangeEnd w:id="7"/>
            <w:r w:rsidR="003E6E7C" w:rsidRPr="00DE68A1">
              <w:rPr>
                <w:rStyle w:val="CommentReference"/>
                <w:rFonts w:asciiTheme="minorHAnsi" w:hAnsiTheme="minorHAnsi" w:cstheme="minorHAnsi"/>
                <w:color w:val="333333"/>
                <w:sz w:val="20"/>
                <w:szCs w:val="20"/>
              </w:rPr>
              <w:commentReference w:id="7"/>
            </w:r>
            <w:commentRangeEnd w:id="8"/>
            <w:r w:rsidR="00106DC8">
              <w:rPr>
                <w:rStyle w:val="CommentReference"/>
              </w:rPr>
              <w:commentReference w:id="8"/>
            </w:r>
          </w:p>
        </w:tc>
        <w:tc>
          <w:tcPr>
            <w:tcW w:w="1832" w:type="dxa"/>
            <w:vAlign w:val="center"/>
          </w:tcPr>
          <w:p w14:paraId="62B668F9" w14:textId="23FFC2EF"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0%</w:t>
            </w:r>
          </w:p>
        </w:tc>
      </w:tr>
      <w:tr w:rsidR="000466AD" w:rsidRPr="00DE68A1" w14:paraId="172A912E" w14:textId="77777777" w:rsidTr="000466AD">
        <w:trPr>
          <w:trHeight w:val="72"/>
        </w:trPr>
        <w:tc>
          <w:tcPr>
            <w:tcW w:w="1957" w:type="dxa"/>
            <w:vAlign w:val="center"/>
            <w:hideMark/>
          </w:tcPr>
          <w:p w14:paraId="34D784E6" w14:textId="095D068E" w:rsidR="000466AD" w:rsidRPr="00DE68A1" w:rsidRDefault="000466AD" w:rsidP="000466AD">
            <w:pPr>
              <w:bidi w:val="0"/>
              <w:spacing w:line="276" w:lineRule="auto"/>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Total non-financial Sectors</w:t>
            </w:r>
          </w:p>
        </w:tc>
        <w:tc>
          <w:tcPr>
            <w:tcW w:w="1437" w:type="dxa"/>
            <w:vAlign w:val="center"/>
          </w:tcPr>
          <w:p w14:paraId="4B12483E" w14:textId="0A529EC2"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b/>
                <w:bCs/>
                <w:sz w:val="20"/>
                <w:szCs w:val="20"/>
              </w:rPr>
              <w:t>395,047</w:t>
            </w:r>
          </w:p>
        </w:tc>
        <w:tc>
          <w:tcPr>
            <w:tcW w:w="1569" w:type="dxa"/>
            <w:vAlign w:val="center"/>
          </w:tcPr>
          <w:p w14:paraId="176A4074" w14:textId="69D98ADC" w:rsidR="000466AD" w:rsidRPr="00FE67B3" w:rsidRDefault="000466AD" w:rsidP="00205FAB">
            <w:pPr>
              <w:bidi w:val="0"/>
              <w:spacing w:line="276" w:lineRule="auto"/>
              <w:jc w:val="right"/>
              <w:rPr>
                <w:rFonts w:asciiTheme="minorHAnsi" w:hAnsiTheme="minorHAnsi" w:cstheme="minorHAnsi"/>
                <w:b/>
                <w:bCs/>
                <w:color w:val="333333"/>
                <w:sz w:val="20"/>
                <w:szCs w:val="20"/>
              </w:rPr>
            </w:pPr>
            <w:r w:rsidRPr="00FE67B3">
              <w:rPr>
                <w:rFonts w:asciiTheme="minorHAnsi" w:hAnsiTheme="minorHAnsi" w:cstheme="minorHAnsi"/>
                <w:b/>
                <w:bCs/>
                <w:color w:val="333333"/>
                <w:sz w:val="20"/>
                <w:szCs w:val="20"/>
              </w:rPr>
              <w:t>99.90%</w:t>
            </w:r>
          </w:p>
        </w:tc>
        <w:tc>
          <w:tcPr>
            <w:tcW w:w="1437" w:type="dxa"/>
            <w:vAlign w:val="center"/>
          </w:tcPr>
          <w:p w14:paraId="62375205" w14:textId="214AD413"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368,982</w:t>
            </w:r>
          </w:p>
        </w:tc>
        <w:tc>
          <w:tcPr>
            <w:tcW w:w="1832" w:type="dxa"/>
            <w:vAlign w:val="center"/>
          </w:tcPr>
          <w:p w14:paraId="7F526646" w14:textId="4AD13F4B"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99.60%</w:t>
            </w:r>
          </w:p>
        </w:tc>
      </w:tr>
      <w:tr w:rsidR="000466AD" w:rsidRPr="00DE68A1" w14:paraId="7FFE1966" w14:textId="77777777" w:rsidTr="000466AD">
        <w:trPr>
          <w:trHeight w:val="72"/>
        </w:trPr>
        <w:tc>
          <w:tcPr>
            <w:tcW w:w="1957" w:type="dxa"/>
            <w:vAlign w:val="center"/>
            <w:hideMark/>
          </w:tcPr>
          <w:p w14:paraId="57104E07" w14:textId="77777777" w:rsidR="000466AD" w:rsidRPr="00DE68A1" w:rsidRDefault="000466AD" w:rsidP="000466AD">
            <w:pPr>
              <w:bidi w:val="0"/>
              <w:spacing w:line="276" w:lineRule="auto"/>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Financial Sectors</w:t>
            </w:r>
          </w:p>
        </w:tc>
        <w:tc>
          <w:tcPr>
            <w:tcW w:w="1437" w:type="dxa"/>
            <w:vAlign w:val="center"/>
          </w:tcPr>
          <w:p w14:paraId="278E44DA" w14:textId="2B1F7EC9"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sz w:val="20"/>
                <w:szCs w:val="20"/>
              </w:rPr>
              <w:t>387</w:t>
            </w:r>
          </w:p>
        </w:tc>
        <w:tc>
          <w:tcPr>
            <w:tcW w:w="1569" w:type="dxa"/>
            <w:vAlign w:val="center"/>
          </w:tcPr>
          <w:p w14:paraId="17F41EAA" w14:textId="7610FFA9"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color w:val="333333"/>
                <w:sz w:val="20"/>
                <w:szCs w:val="20"/>
              </w:rPr>
              <w:t>0.10%</w:t>
            </w:r>
          </w:p>
        </w:tc>
        <w:tc>
          <w:tcPr>
            <w:tcW w:w="1437" w:type="dxa"/>
            <w:vAlign w:val="center"/>
          </w:tcPr>
          <w:p w14:paraId="0B490D78" w14:textId="54710186"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18</w:t>
            </w:r>
          </w:p>
        </w:tc>
        <w:tc>
          <w:tcPr>
            <w:tcW w:w="1832" w:type="dxa"/>
            <w:vAlign w:val="center"/>
          </w:tcPr>
          <w:p w14:paraId="0C96606E" w14:textId="100E6023"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0.40%</w:t>
            </w:r>
          </w:p>
        </w:tc>
      </w:tr>
      <w:tr w:rsidR="000466AD" w:rsidRPr="00DE68A1" w14:paraId="55C64D19" w14:textId="77777777" w:rsidTr="000466AD">
        <w:trPr>
          <w:trHeight w:val="72"/>
        </w:trPr>
        <w:tc>
          <w:tcPr>
            <w:tcW w:w="1957" w:type="dxa"/>
            <w:vAlign w:val="center"/>
          </w:tcPr>
          <w:p w14:paraId="52215C29" w14:textId="77777777" w:rsidR="000466AD" w:rsidRPr="00DE68A1" w:rsidRDefault="000466AD" w:rsidP="000466AD">
            <w:pPr>
              <w:bidi w:val="0"/>
              <w:spacing w:line="276" w:lineRule="auto"/>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Total Sectors</w:t>
            </w:r>
          </w:p>
        </w:tc>
        <w:tc>
          <w:tcPr>
            <w:tcW w:w="1437" w:type="dxa"/>
            <w:vAlign w:val="center"/>
          </w:tcPr>
          <w:p w14:paraId="64D95F58" w14:textId="745D5D80" w:rsidR="000466AD" w:rsidRPr="00FE67B3" w:rsidRDefault="000466AD" w:rsidP="00205FAB">
            <w:pPr>
              <w:bidi w:val="0"/>
              <w:spacing w:line="276" w:lineRule="auto"/>
              <w:jc w:val="right"/>
              <w:rPr>
                <w:rFonts w:asciiTheme="minorHAnsi" w:hAnsiTheme="minorHAnsi" w:cstheme="minorHAnsi"/>
                <w:color w:val="333333"/>
                <w:sz w:val="20"/>
                <w:szCs w:val="20"/>
              </w:rPr>
            </w:pPr>
            <w:r w:rsidRPr="00FE67B3">
              <w:rPr>
                <w:rFonts w:asciiTheme="minorHAnsi" w:hAnsiTheme="minorHAnsi" w:cstheme="minorHAnsi"/>
                <w:b/>
                <w:bCs/>
                <w:sz w:val="20"/>
                <w:szCs w:val="20"/>
              </w:rPr>
              <w:t>395,434</w:t>
            </w:r>
          </w:p>
        </w:tc>
        <w:tc>
          <w:tcPr>
            <w:tcW w:w="1569" w:type="dxa"/>
            <w:vAlign w:val="center"/>
          </w:tcPr>
          <w:p w14:paraId="022B93A1" w14:textId="29EE9278" w:rsidR="000466AD" w:rsidRPr="00FE67B3" w:rsidRDefault="000466AD" w:rsidP="00205FAB">
            <w:pPr>
              <w:bidi w:val="0"/>
              <w:spacing w:line="276" w:lineRule="auto"/>
              <w:jc w:val="right"/>
              <w:rPr>
                <w:rFonts w:asciiTheme="minorHAnsi" w:hAnsiTheme="minorHAnsi" w:cstheme="minorHAnsi"/>
                <w:b/>
                <w:bCs/>
                <w:color w:val="333333"/>
                <w:sz w:val="20"/>
                <w:szCs w:val="20"/>
              </w:rPr>
            </w:pPr>
            <w:r w:rsidRPr="00FE67B3">
              <w:rPr>
                <w:rFonts w:asciiTheme="minorHAnsi" w:hAnsiTheme="minorHAnsi" w:cstheme="minorHAnsi"/>
                <w:b/>
                <w:bCs/>
                <w:color w:val="333333"/>
                <w:sz w:val="20"/>
                <w:szCs w:val="20"/>
              </w:rPr>
              <w:t>100.00%</w:t>
            </w:r>
          </w:p>
        </w:tc>
        <w:tc>
          <w:tcPr>
            <w:tcW w:w="1437" w:type="dxa"/>
            <w:vAlign w:val="center"/>
          </w:tcPr>
          <w:p w14:paraId="5CCB471A" w14:textId="2AF716A1"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369,000</w:t>
            </w:r>
          </w:p>
        </w:tc>
        <w:tc>
          <w:tcPr>
            <w:tcW w:w="1832" w:type="dxa"/>
            <w:vAlign w:val="center"/>
          </w:tcPr>
          <w:p w14:paraId="7D739273" w14:textId="653D10AB" w:rsidR="000466AD" w:rsidRPr="00DE68A1" w:rsidRDefault="000466AD" w:rsidP="00205FAB">
            <w:pPr>
              <w:bidi w:val="0"/>
              <w:spacing w:line="276" w:lineRule="auto"/>
              <w:jc w:val="right"/>
              <w:rPr>
                <w:rFonts w:asciiTheme="minorHAnsi" w:hAnsiTheme="minorHAnsi" w:cstheme="minorHAnsi"/>
                <w:color w:val="333333"/>
                <w:sz w:val="20"/>
                <w:szCs w:val="20"/>
              </w:rPr>
            </w:pPr>
            <w:r w:rsidRPr="00DE68A1">
              <w:rPr>
                <w:rFonts w:asciiTheme="minorHAnsi" w:hAnsiTheme="minorHAnsi" w:cstheme="minorHAnsi"/>
                <w:color w:val="333333"/>
                <w:sz w:val="20"/>
                <w:szCs w:val="20"/>
              </w:rPr>
              <w:t xml:space="preserve"> 100%</w:t>
            </w:r>
          </w:p>
        </w:tc>
      </w:tr>
    </w:tbl>
    <w:p w14:paraId="42D8376B" w14:textId="2B81D049" w:rsidR="00892AED" w:rsidRPr="00DE68A1" w:rsidRDefault="00892AED" w:rsidP="001F0B2F">
      <w:pPr>
        <w:tabs>
          <w:tab w:val="left" w:pos="965"/>
        </w:tabs>
        <w:bidi w:val="0"/>
        <w:rPr>
          <w:b/>
        </w:rPr>
      </w:pPr>
    </w:p>
    <w:p w14:paraId="24D2CE5D" w14:textId="77777777" w:rsidR="007D5D50" w:rsidRPr="00DE68A1" w:rsidRDefault="007D5D50" w:rsidP="001F0B2F">
      <w:pPr>
        <w:bidi w:val="0"/>
        <w:ind w:left="284" w:right="239"/>
        <w:jc w:val="lowKashida"/>
        <w:rPr>
          <w:b/>
        </w:rPr>
      </w:pPr>
    </w:p>
    <w:p w14:paraId="0DB769C1" w14:textId="77777777" w:rsidR="007D5D50" w:rsidRPr="00DE68A1" w:rsidRDefault="007D5D50" w:rsidP="007D5D50">
      <w:pPr>
        <w:bidi w:val="0"/>
        <w:ind w:left="284" w:right="239"/>
        <w:jc w:val="lowKashida"/>
        <w:rPr>
          <w:b/>
        </w:rPr>
      </w:pPr>
    </w:p>
    <w:p w14:paraId="2EF5B4DE" w14:textId="77777777" w:rsidR="007D5D50" w:rsidRPr="00DE68A1" w:rsidRDefault="007D5D50" w:rsidP="007D5D50">
      <w:pPr>
        <w:bidi w:val="0"/>
        <w:ind w:left="284" w:right="239"/>
        <w:jc w:val="lowKashida"/>
        <w:rPr>
          <w:b/>
        </w:rPr>
      </w:pPr>
    </w:p>
    <w:p w14:paraId="1B0E5B76" w14:textId="77777777" w:rsidR="007D5D50" w:rsidRPr="00DE68A1" w:rsidRDefault="007D5D50" w:rsidP="007D5D50">
      <w:pPr>
        <w:bidi w:val="0"/>
        <w:ind w:left="284" w:right="239"/>
        <w:jc w:val="lowKashida"/>
        <w:rPr>
          <w:b/>
        </w:rPr>
      </w:pPr>
    </w:p>
    <w:p w14:paraId="11880A8E" w14:textId="77777777" w:rsidR="007D5D50" w:rsidRPr="00DE68A1" w:rsidRDefault="007D5D50" w:rsidP="007D5D50">
      <w:pPr>
        <w:bidi w:val="0"/>
        <w:ind w:left="284" w:right="239"/>
        <w:jc w:val="lowKashida"/>
        <w:rPr>
          <w:b/>
        </w:rPr>
      </w:pPr>
    </w:p>
    <w:p w14:paraId="29F54AD5" w14:textId="77777777" w:rsidR="007D5D50" w:rsidRPr="00DE68A1" w:rsidRDefault="007D5D50" w:rsidP="007D5D50">
      <w:pPr>
        <w:bidi w:val="0"/>
        <w:ind w:left="284" w:right="239"/>
        <w:jc w:val="lowKashida"/>
        <w:rPr>
          <w:b/>
        </w:rPr>
      </w:pPr>
    </w:p>
    <w:p w14:paraId="5C68BCB1" w14:textId="77777777" w:rsidR="007D5D50" w:rsidRPr="00DE68A1" w:rsidRDefault="007D5D50" w:rsidP="007D5D50">
      <w:pPr>
        <w:bidi w:val="0"/>
        <w:ind w:left="284" w:right="239"/>
        <w:jc w:val="lowKashida"/>
        <w:rPr>
          <w:b/>
        </w:rPr>
      </w:pPr>
    </w:p>
    <w:p w14:paraId="7585344D" w14:textId="77777777" w:rsidR="007D5D50" w:rsidRPr="00DE68A1" w:rsidRDefault="007D5D50" w:rsidP="007D5D50">
      <w:pPr>
        <w:bidi w:val="0"/>
        <w:ind w:left="284" w:right="239"/>
        <w:jc w:val="lowKashida"/>
        <w:rPr>
          <w:b/>
        </w:rPr>
      </w:pPr>
    </w:p>
    <w:p w14:paraId="03907224" w14:textId="77777777" w:rsidR="007D5D50" w:rsidRPr="00DE68A1" w:rsidRDefault="007D5D50" w:rsidP="007D5D50">
      <w:pPr>
        <w:bidi w:val="0"/>
        <w:ind w:left="284" w:right="239"/>
        <w:jc w:val="lowKashida"/>
        <w:rPr>
          <w:b/>
        </w:rPr>
      </w:pPr>
    </w:p>
    <w:p w14:paraId="727CD5A1" w14:textId="77777777" w:rsidR="007D5D50" w:rsidRPr="00DE68A1" w:rsidRDefault="007D5D50" w:rsidP="007D5D50">
      <w:pPr>
        <w:bidi w:val="0"/>
        <w:ind w:left="284" w:right="239"/>
        <w:jc w:val="lowKashida"/>
        <w:rPr>
          <w:b/>
        </w:rPr>
      </w:pPr>
    </w:p>
    <w:p w14:paraId="26B1F8AB" w14:textId="77777777" w:rsidR="007D5D50" w:rsidRPr="00DE68A1" w:rsidRDefault="007D5D50" w:rsidP="007D5D50">
      <w:pPr>
        <w:bidi w:val="0"/>
        <w:ind w:left="284" w:right="239"/>
        <w:jc w:val="lowKashida"/>
        <w:rPr>
          <w:b/>
        </w:rPr>
      </w:pPr>
    </w:p>
    <w:p w14:paraId="443EE05A" w14:textId="77777777" w:rsidR="007D5D50" w:rsidRPr="00DE68A1" w:rsidRDefault="007D5D50" w:rsidP="007D5D50">
      <w:pPr>
        <w:bidi w:val="0"/>
        <w:ind w:left="284" w:right="239"/>
        <w:jc w:val="lowKashida"/>
        <w:rPr>
          <w:b/>
        </w:rPr>
      </w:pPr>
    </w:p>
    <w:p w14:paraId="7F666E31" w14:textId="77777777" w:rsidR="007D5D50" w:rsidRPr="00DE68A1" w:rsidRDefault="007D5D50" w:rsidP="007D5D50">
      <w:pPr>
        <w:bidi w:val="0"/>
        <w:ind w:left="284" w:right="239"/>
        <w:jc w:val="lowKashida"/>
        <w:rPr>
          <w:b/>
        </w:rPr>
      </w:pPr>
    </w:p>
    <w:p w14:paraId="766D77DF" w14:textId="77777777" w:rsidR="007D5D50" w:rsidRPr="00DE68A1" w:rsidRDefault="007D5D50" w:rsidP="007D5D50">
      <w:pPr>
        <w:bidi w:val="0"/>
        <w:ind w:left="284" w:right="239"/>
        <w:jc w:val="lowKashida"/>
        <w:rPr>
          <w:b/>
        </w:rPr>
      </w:pPr>
    </w:p>
    <w:p w14:paraId="70D2E97E" w14:textId="77777777" w:rsidR="007D5D50" w:rsidRPr="00DE68A1" w:rsidRDefault="007D5D50" w:rsidP="007D5D50">
      <w:pPr>
        <w:bidi w:val="0"/>
        <w:ind w:left="284" w:right="239"/>
        <w:jc w:val="lowKashida"/>
        <w:rPr>
          <w:b/>
        </w:rPr>
      </w:pPr>
    </w:p>
    <w:p w14:paraId="505E3E16" w14:textId="77777777" w:rsidR="007D5D50" w:rsidRPr="00DE68A1" w:rsidRDefault="007D5D50" w:rsidP="007D5D50">
      <w:pPr>
        <w:bidi w:val="0"/>
        <w:ind w:left="284" w:right="239"/>
        <w:jc w:val="lowKashida"/>
        <w:rPr>
          <w:b/>
        </w:rPr>
      </w:pPr>
    </w:p>
    <w:p w14:paraId="35A3C23B" w14:textId="77777777" w:rsidR="007D5D50" w:rsidRPr="00DE68A1" w:rsidRDefault="007D5D50" w:rsidP="007D5D50">
      <w:pPr>
        <w:bidi w:val="0"/>
        <w:ind w:left="284" w:right="239"/>
        <w:jc w:val="lowKashida"/>
        <w:rPr>
          <w:b/>
        </w:rPr>
      </w:pPr>
    </w:p>
    <w:p w14:paraId="6976CBD8" w14:textId="77777777" w:rsidR="007D5D50" w:rsidRPr="00DE68A1" w:rsidRDefault="007D5D50" w:rsidP="007D5D50">
      <w:pPr>
        <w:bidi w:val="0"/>
        <w:ind w:left="284" w:right="239"/>
        <w:jc w:val="lowKashida"/>
        <w:rPr>
          <w:b/>
        </w:rPr>
      </w:pPr>
    </w:p>
    <w:p w14:paraId="2BF9B555" w14:textId="77777777" w:rsidR="007D5D50" w:rsidRPr="00DE68A1" w:rsidRDefault="007D5D50" w:rsidP="007D5D50">
      <w:pPr>
        <w:bidi w:val="0"/>
        <w:ind w:left="284" w:right="239"/>
        <w:jc w:val="lowKashida"/>
        <w:rPr>
          <w:b/>
        </w:rPr>
      </w:pPr>
    </w:p>
    <w:p w14:paraId="2AF25054" w14:textId="77777777" w:rsidR="007D5D50" w:rsidRPr="00DE68A1" w:rsidRDefault="007D5D50" w:rsidP="007D5D50">
      <w:pPr>
        <w:bidi w:val="0"/>
        <w:ind w:left="284" w:right="239"/>
        <w:jc w:val="lowKashida"/>
        <w:rPr>
          <w:b/>
        </w:rPr>
      </w:pPr>
    </w:p>
    <w:p w14:paraId="7178488B" w14:textId="34F1917E" w:rsidR="00AC0D08" w:rsidRPr="00DE68A1" w:rsidRDefault="00B07F25" w:rsidP="007D5D50">
      <w:pPr>
        <w:bidi w:val="0"/>
        <w:ind w:left="284" w:right="239"/>
        <w:jc w:val="lowKashida"/>
        <w:rPr>
          <w:b/>
        </w:rPr>
      </w:pPr>
      <w:r w:rsidRPr="00DE68A1">
        <w:rPr>
          <w:b/>
        </w:rPr>
        <w:t>Impaired Loans – Geographical Distribution</w:t>
      </w:r>
      <w:r w:rsidR="00B17949" w:rsidRPr="00DE68A1">
        <w:rPr>
          <w:b/>
        </w:rPr>
        <w:t xml:space="preserve"> as on 31</w:t>
      </w:r>
      <w:r w:rsidR="00B17949" w:rsidRPr="00DE68A1">
        <w:rPr>
          <w:b/>
          <w:vertAlign w:val="superscript"/>
        </w:rPr>
        <w:t>st</w:t>
      </w:r>
      <w:r w:rsidR="00F52ADB" w:rsidRPr="00DE68A1">
        <w:rPr>
          <w:b/>
        </w:rPr>
        <w:t xml:space="preserve"> December</w:t>
      </w:r>
      <w:r w:rsidR="00B17949" w:rsidRPr="00DE68A1">
        <w:rPr>
          <w:b/>
        </w:rPr>
        <w:t xml:space="preserve"> </w:t>
      </w:r>
      <w:r w:rsidR="00E01875" w:rsidRPr="00DE68A1">
        <w:rPr>
          <w:b/>
        </w:rPr>
        <w:t>202</w:t>
      </w:r>
      <w:r w:rsidR="009B3450" w:rsidRPr="00DE68A1">
        <w:rPr>
          <w:b/>
        </w:rPr>
        <w:t>5</w:t>
      </w:r>
      <w:r w:rsidR="00B17949" w:rsidRPr="00DE68A1">
        <w:rPr>
          <w:b/>
        </w:rPr>
        <w:t xml:space="preserve"> (All figures in KD ‘000)</w:t>
      </w:r>
    </w:p>
    <w:p w14:paraId="2E83FA14" w14:textId="77777777" w:rsidR="00F2381E" w:rsidRPr="00DE68A1" w:rsidRDefault="00F2381E" w:rsidP="008721EA">
      <w:pPr>
        <w:bidi w:val="0"/>
        <w:rPr>
          <w:color w:val="0000FF"/>
          <w:sz w:val="20"/>
          <w:szCs w:val="20"/>
        </w:rPr>
      </w:pPr>
      <w:r w:rsidRPr="00DE68A1">
        <w:rPr>
          <w:b/>
          <w:bCs/>
          <w:color w:val="000000" w:themeColor="text1"/>
          <w:sz w:val="22"/>
          <w:szCs w:val="22"/>
        </w:rPr>
        <w:t xml:space="preserve">                                                                                   </w:t>
      </w:r>
      <w:r w:rsidR="00AC0D08" w:rsidRPr="00DE68A1">
        <w:rPr>
          <w:b/>
          <w:bCs/>
          <w:color w:val="000000" w:themeColor="text1"/>
          <w:sz w:val="22"/>
          <w:szCs w:val="22"/>
        </w:rPr>
        <w:tab/>
      </w:r>
      <w:r w:rsidR="00AC0D08" w:rsidRPr="00DE68A1">
        <w:rPr>
          <w:b/>
          <w:bCs/>
          <w:color w:val="000000" w:themeColor="text1"/>
          <w:sz w:val="22"/>
          <w:szCs w:val="22"/>
        </w:rPr>
        <w:tab/>
      </w:r>
      <w:r w:rsidR="00AC0D08" w:rsidRPr="00DE68A1">
        <w:rPr>
          <w:b/>
          <w:bCs/>
          <w:color w:val="000000" w:themeColor="text1"/>
          <w:sz w:val="22"/>
          <w:szCs w:val="22"/>
        </w:rPr>
        <w:tab/>
      </w:r>
      <w:r w:rsidR="00AC0D08" w:rsidRPr="00DE68A1">
        <w:rPr>
          <w:b/>
          <w:bCs/>
          <w:color w:val="000000" w:themeColor="text1"/>
          <w:sz w:val="22"/>
          <w:szCs w:val="22"/>
        </w:rPr>
        <w:tab/>
      </w:r>
    </w:p>
    <w:tbl>
      <w:tblPr>
        <w:tblW w:w="7716" w:type="dxa"/>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1"/>
        <w:gridCol w:w="1083"/>
        <w:gridCol w:w="1197"/>
        <w:gridCol w:w="1254"/>
        <w:gridCol w:w="1441"/>
      </w:tblGrid>
      <w:tr w:rsidR="00FD0EAA" w:rsidRPr="00DE68A1" w14:paraId="0D30E053" w14:textId="77777777" w:rsidTr="00FC6CE4">
        <w:trPr>
          <w:trHeight w:val="299"/>
        </w:trPr>
        <w:tc>
          <w:tcPr>
            <w:tcW w:w="2741" w:type="dxa"/>
            <w:vMerge w:val="restart"/>
            <w:shd w:val="clear" w:color="auto" w:fill="D9D9D9" w:themeFill="background1" w:themeFillShade="D9"/>
            <w:noWrap/>
            <w:vAlign w:val="center"/>
            <w:hideMark/>
          </w:tcPr>
          <w:p w14:paraId="14470C01" w14:textId="246AEB48" w:rsidR="00FD0EAA" w:rsidRPr="00DE68A1" w:rsidRDefault="00FD0EAA" w:rsidP="00FD0EAA">
            <w:pPr>
              <w:bidi w:val="0"/>
              <w:rPr>
                <w:rFonts w:ascii="Calibri" w:hAnsi="Calibri"/>
                <w:b/>
                <w:bCs/>
                <w:color w:val="000000"/>
                <w:sz w:val="18"/>
                <w:szCs w:val="18"/>
              </w:rPr>
            </w:pPr>
            <w:r w:rsidRPr="00DE68A1">
              <w:rPr>
                <w:rFonts w:ascii="Calibri" w:hAnsi="Calibri"/>
                <w:b/>
                <w:bCs/>
                <w:color w:val="000000"/>
                <w:sz w:val="18"/>
                <w:szCs w:val="18"/>
              </w:rPr>
              <w:t>Geography</w:t>
            </w:r>
          </w:p>
        </w:tc>
        <w:tc>
          <w:tcPr>
            <w:tcW w:w="2280" w:type="dxa"/>
            <w:gridSpan w:val="2"/>
            <w:shd w:val="clear" w:color="auto" w:fill="D9D9D9" w:themeFill="background1" w:themeFillShade="D9"/>
            <w:vAlign w:val="center"/>
            <w:hideMark/>
          </w:tcPr>
          <w:p w14:paraId="04A42FEC" w14:textId="77777777" w:rsidR="00FD0EAA" w:rsidRPr="00DE68A1" w:rsidRDefault="00FD0EAA" w:rsidP="001F0B2F">
            <w:pPr>
              <w:bidi w:val="0"/>
              <w:jc w:val="center"/>
              <w:rPr>
                <w:rFonts w:ascii="Calibri" w:hAnsi="Calibri"/>
                <w:b/>
                <w:bCs/>
                <w:sz w:val="18"/>
                <w:szCs w:val="18"/>
              </w:rPr>
            </w:pPr>
            <w:r w:rsidRPr="00DE68A1">
              <w:rPr>
                <w:rFonts w:ascii="Calibri" w:hAnsi="Calibri"/>
                <w:b/>
                <w:bCs/>
                <w:sz w:val="18"/>
                <w:szCs w:val="18"/>
              </w:rPr>
              <w:t>Outstanding loans</w:t>
            </w:r>
          </w:p>
        </w:tc>
        <w:tc>
          <w:tcPr>
            <w:tcW w:w="2695" w:type="dxa"/>
            <w:gridSpan w:val="2"/>
            <w:shd w:val="clear" w:color="auto" w:fill="D9D9D9" w:themeFill="background1" w:themeFillShade="D9"/>
            <w:vAlign w:val="center"/>
            <w:hideMark/>
          </w:tcPr>
          <w:p w14:paraId="29CF34FF" w14:textId="77777777" w:rsidR="00FD0EAA" w:rsidRPr="00DE68A1" w:rsidRDefault="00FD0EAA" w:rsidP="001F0B2F">
            <w:pPr>
              <w:bidi w:val="0"/>
              <w:jc w:val="center"/>
              <w:rPr>
                <w:rFonts w:ascii="Calibri" w:hAnsi="Calibri"/>
                <w:b/>
                <w:bCs/>
                <w:sz w:val="18"/>
                <w:szCs w:val="18"/>
              </w:rPr>
            </w:pPr>
            <w:r w:rsidRPr="00DE68A1">
              <w:rPr>
                <w:rFonts w:ascii="Calibri" w:hAnsi="Calibri"/>
                <w:b/>
                <w:bCs/>
                <w:sz w:val="18"/>
                <w:szCs w:val="18"/>
              </w:rPr>
              <w:t>Provision provided for impaired loans</w:t>
            </w:r>
          </w:p>
        </w:tc>
      </w:tr>
      <w:tr w:rsidR="007D5D50" w:rsidRPr="00DE68A1" w14:paraId="32E7FD89" w14:textId="77777777" w:rsidTr="00FC6CE4">
        <w:trPr>
          <w:trHeight w:val="49"/>
        </w:trPr>
        <w:tc>
          <w:tcPr>
            <w:tcW w:w="2741" w:type="dxa"/>
            <w:vMerge/>
            <w:shd w:val="clear" w:color="auto" w:fill="D9D9D9" w:themeFill="background1" w:themeFillShade="D9"/>
            <w:noWrap/>
            <w:vAlign w:val="bottom"/>
            <w:hideMark/>
          </w:tcPr>
          <w:p w14:paraId="187F0B71" w14:textId="20C35253" w:rsidR="00FD0EAA" w:rsidRPr="00DE68A1" w:rsidRDefault="00FD0EAA" w:rsidP="00FD0EAA">
            <w:pPr>
              <w:bidi w:val="0"/>
              <w:rPr>
                <w:rFonts w:ascii="Calibri" w:hAnsi="Calibri"/>
                <w:color w:val="000000"/>
                <w:sz w:val="18"/>
                <w:szCs w:val="18"/>
              </w:rPr>
            </w:pPr>
          </w:p>
        </w:tc>
        <w:tc>
          <w:tcPr>
            <w:tcW w:w="1083" w:type="dxa"/>
            <w:shd w:val="clear" w:color="auto" w:fill="D9D9D9" w:themeFill="background1" w:themeFillShade="D9"/>
            <w:noWrap/>
            <w:vAlign w:val="center"/>
            <w:hideMark/>
          </w:tcPr>
          <w:p w14:paraId="5CE6AE0A" w14:textId="4E68F8F0" w:rsidR="00FD0EAA" w:rsidRPr="00DE68A1" w:rsidRDefault="00E01875" w:rsidP="00FD0EAA">
            <w:pPr>
              <w:bidi w:val="0"/>
              <w:jc w:val="center"/>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202</w:t>
            </w:r>
            <w:r w:rsidR="009B3450" w:rsidRPr="00DE68A1">
              <w:rPr>
                <w:rFonts w:asciiTheme="minorHAnsi" w:hAnsiTheme="minorHAnsi" w:cstheme="minorHAnsi"/>
                <w:b/>
                <w:bCs/>
                <w:color w:val="000000"/>
                <w:sz w:val="18"/>
                <w:szCs w:val="18"/>
              </w:rPr>
              <w:t>5</w:t>
            </w:r>
          </w:p>
        </w:tc>
        <w:tc>
          <w:tcPr>
            <w:tcW w:w="1197" w:type="dxa"/>
            <w:shd w:val="clear" w:color="auto" w:fill="D9D9D9" w:themeFill="background1" w:themeFillShade="D9"/>
            <w:noWrap/>
            <w:vAlign w:val="center"/>
            <w:hideMark/>
          </w:tcPr>
          <w:p w14:paraId="18AF941F" w14:textId="54F604D3" w:rsidR="00FD0EAA" w:rsidRPr="00DE68A1" w:rsidRDefault="009831A4" w:rsidP="00FD0EAA">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202</w:t>
            </w:r>
            <w:r w:rsidR="009B3450" w:rsidRPr="00DE68A1">
              <w:rPr>
                <w:rFonts w:asciiTheme="minorHAnsi" w:hAnsiTheme="minorHAnsi" w:cstheme="minorHAnsi"/>
                <w:color w:val="000000"/>
                <w:sz w:val="18"/>
                <w:szCs w:val="18"/>
              </w:rPr>
              <w:t>4</w:t>
            </w:r>
          </w:p>
        </w:tc>
        <w:tc>
          <w:tcPr>
            <w:tcW w:w="1254" w:type="dxa"/>
            <w:shd w:val="clear" w:color="auto" w:fill="D9D9D9" w:themeFill="background1" w:themeFillShade="D9"/>
            <w:noWrap/>
            <w:vAlign w:val="center"/>
            <w:hideMark/>
          </w:tcPr>
          <w:p w14:paraId="22D21E9D" w14:textId="66D49D7D" w:rsidR="00FD0EAA" w:rsidRPr="00DE68A1" w:rsidRDefault="00E01875" w:rsidP="00892AED">
            <w:pPr>
              <w:bidi w:val="0"/>
              <w:jc w:val="center"/>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202</w:t>
            </w:r>
            <w:r w:rsidR="009B3450" w:rsidRPr="00DE68A1">
              <w:rPr>
                <w:rFonts w:asciiTheme="minorHAnsi" w:hAnsiTheme="minorHAnsi" w:cstheme="minorHAnsi"/>
                <w:b/>
                <w:bCs/>
                <w:color w:val="000000"/>
                <w:sz w:val="18"/>
                <w:szCs w:val="18"/>
              </w:rPr>
              <w:t>5</w:t>
            </w:r>
          </w:p>
        </w:tc>
        <w:tc>
          <w:tcPr>
            <w:tcW w:w="1441" w:type="dxa"/>
            <w:shd w:val="clear" w:color="auto" w:fill="D9D9D9" w:themeFill="background1" w:themeFillShade="D9"/>
            <w:noWrap/>
            <w:vAlign w:val="center"/>
            <w:hideMark/>
          </w:tcPr>
          <w:p w14:paraId="71ED2D19" w14:textId="301F64F5" w:rsidR="00FD0EAA" w:rsidRPr="00DE68A1" w:rsidRDefault="009831A4" w:rsidP="00892AED">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202</w:t>
            </w:r>
            <w:r w:rsidR="009B3450" w:rsidRPr="00DE68A1">
              <w:rPr>
                <w:rFonts w:asciiTheme="minorHAnsi" w:hAnsiTheme="minorHAnsi" w:cstheme="minorHAnsi"/>
                <w:color w:val="000000"/>
                <w:sz w:val="18"/>
                <w:szCs w:val="18"/>
              </w:rPr>
              <w:t>4</w:t>
            </w:r>
          </w:p>
        </w:tc>
      </w:tr>
      <w:tr w:rsidR="007D5D50" w:rsidRPr="00DE68A1" w14:paraId="32145DBA" w14:textId="77777777" w:rsidTr="007D5D50">
        <w:trPr>
          <w:trHeight w:val="135"/>
        </w:trPr>
        <w:tc>
          <w:tcPr>
            <w:tcW w:w="2741" w:type="dxa"/>
            <w:noWrap/>
            <w:vAlign w:val="bottom"/>
            <w:hideMark/>
          </w:tcPr>
          <w:p w14:paraId="5AFAB86B" w14:textId="147F6A8F" w:rsidR="00716AF9" w:rsidRPr="00DE68A1" w:rsidRDefault="00716AF9" w:rsidP="00716AF9">
            <w:pPr>
              <w:bidi w:val="0"/>
              <w:rPr>
                <w:rFonts w:ascii="Calibri" w:hAnsi="Calibri"/>
                <w:b/>
                <w:bCs/>
                <w:color w:val="000000"/>
                <w:sz w:val="18"/>
                <w:szCs w:val="18"/>
              </w:rPr>
            </w:pPr>
            <w:r w:rsidRPr="00DE68A1">
              <w:rPr>
                <w:rFonts w:ascii="Calibri" w:hAnsi="Calibri"/>
                <w:b/>
                <w:bCs/>
                <w:color w:val="000000"/>
                <w:sz w:val="18"/>
                <w:szCs w:val="18"/>
              </w:rPr>
              <w:t xml:space="preserve">Kuwait </w:t>
            </w:r>
          </w:p>
        </w:tc>
        <w:tc>
          <w:tcPr>
            <w:tcW w:w="1083" w:type="dxa"/>
            <w:noWrap/>
            <w:vAlign w:val="center"/>
          </w:tcPr>
          <w:p w14:paraId="5F81CB0B" w14:textId="61424CD0" w:rsidR="00716AF9" w:rsidRPr="00DE68A1" w:rsidRDefault="000466AD" w:rsidP="00716AF9">
            <w:pPr>
              <w:bidi w:val="0"/>
              <w:jc w:val="center"/>
              <w:rPr>
                <w:rFonts w:asciiTheme="minorHAnsi" w:hAnsiTheme="minorHAnsi" w:cstheme="minorHAnsi"/>
                <w:color w:val="000000"/>
                <w:sz w:val="18"/>
                <w:szCs w:val="18"/>
              </w:rPr>
            </w:pPr>
            <w:r>
              <w:rPr>
                <w:rFonts w:asciiTheme="minorHAnsi" w:hAnsiTheme="minorHAnsi" w:cstheme="minorHAnsi"/>
                <w:color w:val="000000"/>
                <w:sz w:val="18"/>
                <w:szCs w:val="18"/>
              </w:rPr>
              <w:t>180</w:t>
            </w:r>
          </w:p>
        </w:tc>
        <w:tc>
          <w:tcPr>
            <w:tcW w:w="1197" w:type="dxa"/>
            <w:noWrap/>
            <w:vAlign w:val="center"/>
          </w:tcPr>
          <w:p w14:paraId="11574D99" w14:textId="7B829135" w:rsidR="00716AF9" w:rsidRPr="00DE68A1" w:rsidRDefault="00865D61" w:rsidP="00716AF9">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1,</w:t>
            </w:r>
            <w:r w:rsidR="009B3450" w:rsidRPr="00DE68A1">
              <w:rPr>
                <w:rFonts w:asciiTheme="minorHAnsi" w:hAnsiTheme="minorHAnsi" w:cstheme="minorHAnsi"/>
                <w:color w:val="000000"/>
                <w:sz w:val="18"/>
                <w:szCs w:val="18"/>
              </w:rPr>
              <w:t>982</w:t>
            </w:r>
          </w:p>
        </w:tc>
        <w:tc>
          <w:tcPr>
            <w:tcW w:w="1254" w:type="dxa"/>
            <w:noWrap/>
            <w:vAlign w:val="center"/>
          </w:tcPr>
          <w:p w14:paraId="5D48AFEF" w14:textId="7DC50C13" w:rsidR="00716AF9" w:rsidRPr="00DE68A1" w:rsidRDefault="009B3450" w:rsidP="00716AF9">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0</w:t>
            </w:r>
          </w:p>
        </w:tc>
        <w:tc>
          <w:tcPr>
            <w:tcW w:w="1441" w:type="dxa"/>
            <w:noWrap/>
            <w:vAlign w:val="center"/>
          </w:tcPr>
          <w:p w14:paraId="48925D5C" w14:textId="2916BF41" w:rsidR="00716AF9" w:rsidRPr="00DE68A1" w:rsidRDefault="009B3450" w:rsidP="00716AF9">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84</w:t>
            </w:r>
          </w:p>
        </w:tc>
      </w:tr>
      <w:tr w:rsidR="007D5D50" w:rsidRPr="00DE68A1" w14:paraId="04DD6CD4" w14:textId="77777777" w:rsidTr="007D5D50">
        <w:trPr>
          <w:trHeight w:val="135"/>
        </w:trPr>
        <w:tc>
          <w:tcPr>
            <w:tcW w:w="2741" w:type="dxa"/>
            <w:noWrap/>
            <w:vAlign w:val="center"/>
            <w:hideMark/>
          </w:tcPr>
          <w:p w14:paraId="525C711A" w14:textId="77777777" w:rsidR="00716AF9" w:rsidRPr="00DE68A1" w:rsidRDefault="00716AF9" w:rsidP="00716AF9">
            <w:pPr>
              <w:bidi w:val="0"/>
              <w:rPr>
                <w:rFonts w:ascii="Calibri" w:hAnsi="Calibri"/>
                <w:b/>
                <w:bCs/>
                <w:color w:val="000000"/>
                <w:sz w:val="18"/>
                <w:szCs w:val="18"/>
              </w:rPr>
            </w:pPr>
            <w:r w:rsidRPr="00DE68A1">
              <w:rPr>
                <w:rFonts w:ascii="Calibri" w:hAnsi="Calibri"/>
                <w:b/>
                <w:bCs/>
                <w:color w:val="000000"/>
                <w:sz w:val="18"/>
                <w:szCs w:val="18"/>
              </w:rPr>
              <w:t>Other GCC countries</w:t>
            </w:r>
          </w:p>
        </w:tc>
        <w:tc>
          <w:tcPr>
            <w:tcW w:w="1083" w:type="dxa"/>
            <w:noWrap/>
            <w:vAlign w:val="center"/>
          </w:tcPr>
          <w:p w14:paraId="3F6BC5B1" w14:textId="71F14E25" w:rsidR="00716AF9" w:rsidRPr="00DE68A1" w:rsidRDefault="00716AF9" w:rsidP="00716AF9">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0</w:t>
            </w:r>
          </w:p>
        </w:tc>
        <w:tc>
          <w:tcPr>
            <w:tcW w:w="1197" w:type="dxa"/>
            <w:noWrap/>
            <w:vAlign w:val="center"/>
          </w:tcPr>
          <w:p w14:paraId="248BE993" w14:textId="514FE098" w:rsidR="00716AF9" w:rsidRPr="00DE68A1" w:rsidRDefault="00716AF9" w:rsidP="00716AF9">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0</w:t>
            </w:r>
          </w:p>
        </w:tc>
        <w:tc>
          <w:tcPr>
            <w:tcW w:w="1254" w:type="dxa"/>
            <w:noWrap/>
            <w:vAlign w:val="center"/>
          </w:tcPr>
          <w:p w14:paraId="268C70D0" w14:textId="00680A81" w:rsidR="00716AF9" w:rsidRPr="00DE68A1" w:rsidRDefault="00716AF9" w:rsidP="00716AF9">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0</w:t>
            </w:r>
          </w:p>
        </w:tc>
        <w:tc>
          <w:tcPr>
            <w:tcW w:w="1441" w:type="dxa"/>
            <w:noWrap/>
            <w:vAlign w:val="center"/>
          </w:tcPr>
          <w:p w14:paraId="74D0AF2E" w14:textId="32679DD4" w:rsidR="00716AF9" w:rsidRPr="00DE68A1" w:rsidRDefault="00716AF9" w:rsidP="00716AF9">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0</w:t>
            </w:r>
          </w:p>
        </w:tc>
      </w:tr>
      <w:tr w:rsidR="007D5D50" w:rsidRPr="00DE68A1" w14:paraId="206D5157" w14:textId="77777777" w:rsidTr="007D5D50">
        <w:trPr>
          <w:trHeight w:val="143"/>
        </w:trPr>
        <w:tc>
          <w:tcPr>
            <w:tcW w:w="2741" w:type="dxa"/>
            <w:noWrap/>
            <w:vAlign w:val="center"/>
            <w:hideMark/>
          </w:tcPr>
          <w:p w14:paraId="72231DA6" w14:textId="36CF7C1A" w:rsidR="00716AF9" w:rsidRPr="00DE68A1" w:rsidRDefault="00716AF9" w:rsidP="00716AF9">
            <w:pPr>
              <w:bidi w:val="0"/>
              <w:rPr>
                <w:rFonts w:ascii="Calibri" w:hAnsi="Calibri"/>
                <w:b/>
                <w:bCs/>
                <w:color w:val="000000"/>
                <w:sz w:val="18"/>
                <w:szCs w:val="18"/>
              </w:rPr>
            </w:pPr>
            <w:r w:rsidRPr="00DE68A1">
              <w:rPr>
                <w:rFonts w:ascii="Calibri" w:hAnsi="Calibri"/>
                <w:b/>
                <w:bCs/>
                <w:color w:val="000000"/>
                <w:sz w:val="18"/>
                <w:szCs w:val="18"/>
              </w:rPr>
              <w:t>Grand total</w:t>
            </w:r>
          </w:p>
        </w:tc>
        <w:tc>
          <w:tcPr>
            <w:tcW w:w="1083" w:type="dxa"/>
            <w:noWrap/>
            <w:vAlign w:val="center"/>
          </w:tcPr>
          <w:p w14:paraId="48356F0D" w14:textId="10A999CE" w:rsidR="00716AF9" w:rsidRPr="00DE68A1" w:rsidRDefault="000466AD" w:rsidP="00716AF9">
            <w:pPr>
              <w:bidi w:val="0"/>
              <w:jc w:val="center"/>
              <w:rPr>
                <w:rFonts w:asciiTheme="minorHAnsi" w:hAnsiTheme="minorHAnsi" w:cstheme="minorHAnsi"/>
                <w:bCs/>
                <w:color w:val="000000"/>
                <w:sz w:val="18"/>
                <w:szCs w:val="18"/>
              </w:rPr>
            </w:pPr>
            <w:r>
              <w:rPr>
                <w:rFonts w:asciiTheme="minorHAnsi" w:hAnsiTheme="minorHAnsi" w:cstheme="minorHAnsi"/>
                <w:bCs/>
                <w:color w:val="000000"/>
                <w:sz w:val="18"/>
                <w:szCs w:val="18"/>
              </w:rPr>
              <w:t>180</w:t>
            </w:r>
          </w:p>
        </w:tc>
        <w:tc>
          <w:tcPr>
            <w:tcW w:w="1197" w:type="dxa"/>
            <w:noWrap/>
            <w:vAlign w:val="center"/>
          </w:tcPr>
          <w:p w14:paraId="44F22867" w14:textId="1F70BE09" w:rsidR="00716AF9" w:rsidRPr="00DE68A1" w:rsidRDefault="00865D61" w:rsidP="00716AF9">
            <w:pPr>
              <w:bidi w:val="0"/>
              <w:jc w:val="center"/>
              <w:rPr>
                <w:rFonts w:asciiTheme="minorHAnsi" w:hAnsiTheme="minorHAnsi" w:cstheme="minorHAnsi"/>
                <w:color w:val="000000"/>
                <w:sz w:val="18"/>
                <w:szCs w:val="18"/>
              </w:rPr>
            </w:pPr>
            <w:r w:rsidRPr="00DE68A1">
              <w:rPr>
                <w:rFonts w:asciiTheme="minorHAnsi" w:hAnsiTheme="minorHAnsi" w:cstheme="minorHAnsi"/>
                <w:bCs/>
                <w:color w:val="000000"/>
                <w:sz w:val="18"/>
                <w:szCs w:val="18"/>
              </w:rPr>
              <w:t xml:space="preserve"> 1,</w:t>
            </w:r>
            <w:r w:rsidR="009B3450" w:rsidRPr="00DE68A1">
              <w:rPr>
                <w:rFonts w:asciiTheme="minorHAnsi" w:hAnsiTheme="minorHAnsi" w:cstheme="minorHAnsi"/>
                <w:bCs/>
                <w:color w:val="000000"/>
                <w:sz w:val="18"/>
                <w:szCs w:val="18"/>
              </w:rPr>
              <w:t>982</w:t>
            </w:r>
          </w:p>
        </w:tc>
        <w:tc>
          <w:tcPr>
            <w:tcW w:w="1254" w:type="dxa"/>
            <w:noWrap/>
            <w:vAlign w:val="center"/>
          </w:tcPr>
          <w:p w14:paraId="1904D9BA" w14:textId="75733762" w:rsidR="00716AF9" w:rsidRPr="00DE68A1" w:rsidRDefault="009B3450" w:rsidP="00716AF9">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0</w:t>
            </w:r>
          </w:p>
        </w:tc>
        <w:tc>
          <w:tcPr>
            <w:tcW w:w="1441" w:type="dxa"/>
            <w:noWrap/>
            <w:vAlign w:val="center"/>
          </w:tcPr>
          <w:p w14:paraId="6A217408" w14:textId="2FC5B0D0" w:rsidR="00716AF9" w:rsidRPr="00DE68A1" w:rsidRDefault="009B3450" w:rsidP="00716AF9">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84</w:t>
            </w:r>
          </w:p>
        </w:tc>
      </w:tr>
      <w:tr w:rsidR="007D5D50" w:rsidRPr="00DE68A1" w14:paraId="3A856BEC" w14:textId="77777777" w:rsidTr="007D5D50">
        <w:trPr>
          <w:trHeight w:val="143"/>
        </w:trPr>
        <w:tc>
          <w:tcPr>
            <w:tcW w:w="2741" w:type="dxa"/>
            <w:noWrap/>
            <w:vAlign w:val="center"/>
          </w:tcPr>
          <w:p w14:paraId="63B3C446" w14:textId="22DFA906" w:rsidR="00716AF9" w:rsidRPr="00DE68A1" w:rsidRDefault="00716AF9" w:rsidP="00716AF9">
            <w:pPr>
              <w:bidi w:val="0"/>
              <w:rPr>
                <w:rFonts w:ascii="Calibri" w:hAnsi="Calibri"/>
                <w:b/>
                <w:color w:val="000000"/>
                <w:sz w:val="18"/>
                <w:szCs w:val="18"/>
              </w:rPr>
            </w:pPr>
            <w:r w:rsidRPr="00DE68A1">
              <w:rPr>
                <w:rFonts w:ascii="Calibri" w:hAnsi="Calibri"/>
                <w:b/>
                <w:bCs/>
                <w:color w:val="000000"/>
                <w:sz w:val="18"/>
                <w:szCs w:val="18"/>
              </w:rPr>
              <w:t>Impaired loans as a percentage of outstanding loans portfolio</w:t>
            </w:r>
          </w:p>
        </w:tc>
        <w:tc>
          <w:tcPr>
            <w:tcW w:w="1083" w:type="dxa"/>
            <w:noWrap/>
            <w:vAlign w:val="center"/>
          </w:tcPr>
          <w:p w14:paraId="027DAF8A" w14:textId="4D50F727" w:rsidR="00716AF9" w:rsidRPr="00DE68A1" w:rsidRDefault="00865D61" w:rsidP="00716AF9">
            <w:pPr>
              <w:bidi w:val="0"/>
              <w:jc w:val="center"/>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 xml:space="preserve"> 0.</w:t>
            </w:r>
            <w:r w:rsidR="009B3450" w:rsidRPr="00DE68A1">
              <w:rPr>
                <w:rFonts w:asciiTheme="minorHAnsi" w:hAnsiTheme="minorHAnsi" w:cstheme="minorHAnsi"/>
                <w:b/>
                <w:bCs/>
                <w:color w:val="000000"/>
                <w:sz w:val="18"/>
                <w:szCs w:val="18"/>
              </w:rPr>
              <w:t>0</w:t>
            </w:r>
            <w:r w:rsidR="000F2EB4" w:rsidRPr="00DE68A1">
              <w:rPr>
                <w:rFonts w:asciiTheme="minorHAnsi" w:hAnsiTheme="minorHAnsi" w:cstheme="minorHAnsi"/>
                <w:b/>
                <w:bCs/>
                <w:color w:val="000000"/>
                <w:sz w:val="18"/>
                <w:szCs w:val="18"/>
              </w:rPr>
              <w:t>5</w:t>
            </w:r>
            <w:r w:rsidR="00716AF9" w:rsidRPr="00DE68A1">
              <w:rPr>
                <w:rFonts w:asciiTheme="minorHAnsi" w:hAnsiTheme="minorHAnsi" w:cstheme="minorHAnsi"/>
                <w:b/>
                <w:bCs/>
                <w:color w:val="000000"/>
                <w:sz w:val="18"/>
                <w:szCs w:val="18"/>
              </w:rPr>
              <w:t>%</w:t>
            </w:r>
          </w:p>
        </w:tc>
        <w:tc>
          <w:tcPr>
            <w:tcW w:w="1197" w:type="dxa"/>
            <w:noWrap/>
            <w:vAlign w:val="center"/>
          </w:tcPr>
          <w:p w14:paraId="2AC3E925" w14:textId="4780F36F" w:rsidR="00716AF9" w:rsidRPr="00DE68A1" w:rsidRDefault="00865D61" w:rsidP="00716AF9">
            <w:pPr>
              <w:bidi w:val="0"/>
              <w:jc w:val="center"/>
              <w:rPr>
                <w:rFonts w:asciiTheme="minorHAnsi" w:hAnsiTheme="minorHAnsi" w:cstheme="minorHAnsi"/>
                <w:color w:val="000000"/>
                <w:sz w:val="18"/>
                <w:szCs w:val="18"/>
              </w:rPr>
            </w:pPr>
            <w:r w:rsidRPr="00DE68A1">
              <w:rPr>
                <w:rFonts w:asciiTheme="minorHAnsi" w:hAnsiTheme="minorHAnsi" w:cstheme="minorHAnsi"/>
                <w:b/>
                <w:bCs/>
                <w:color w:val="000000"/>
                <w:sz w:val="18"/>
                <w:szCs w:val="18"/>
              </w:rPr>
              <w:t xml:space="preserve"> 0.</w:t>
            </w:r>
            <w:r w:rsidR="009B3450" w:rsidRPr="00DE68A1">
              <w:rPr>
                <w:rFonts w:asciiTheme="minorHAnsi" w:hAnsiTheme="minorHAnsi" w:cstheme="minorHAnsi"/>
                <w:b/>
                <w:bCs/>
                <w:color w:val="000000"/>
                <w:sz w:val="18"/>
                <w:szCs w:val="18"/>
              </w:rPr>
              <w:t>65</w:t>
            </w:r>
            <w:r w:rsidR="00716AF9" w:rsidRPr="00DE68A1">
              <w:rPr>
                <w:rFonts w:asciiTheme="minorHAnsi" w:hAnsiTheme="minorHAnsi" w:cstheme="minorHAnsi"/>
                <w:b/>
                <w:bCs/>
                <w:color w:val="000000"/>
                <w:sz w:val="18"/>
                <w:szCs w:val="18"/>
              </w:rPr>
              <w:t>%</w:t>
            </w:r>
          </w:p>
        </w:tc>
        <w:tc>
          <w:tcPr>
            <w:tcW w:w="1254" w:type="dxa"/>
            <w:noWrap/>
            <w:vAlign w:val="center"/>
          </w:tcPr>
          <w:p w14:paraId="38D40A22" w14:textId="2D5C8DC7" w:rsidR="00716AF9" w:rsidRPr="00DE68A1" w:rsidRDefault="00716AF9" w:rsidP="00716AF9">
            <w:pPr>
              <w:bidi w:val="0"/>
              <w:jc w:val="center"/>
              <w:rPr>
                <w:rFonts w:asciiTheme="minorHAnsi" w:hAnsiTheme="minorHAnsi" w:cstheme="minorHAnsi"/>
                <w:b/>
                <w:bCs/>
                <w:color w:val="000000"/>
                <w:sz w:val="18"/>
                <w:szCs w:val="18"/>
              </w:rPr>
            </w:pPr>
          </w:p>
        </w:tc>
        <w:tc>
          <w:tcPr>
            <w:tcW w:w="1441" w:type="dxa"/>
            <w:noWrap/>
            <w:vAlign w:val="center"/>
          </w:tcPr>
          <w:p w14:paraId="39959517" w14:textId="52B7DA0B" w:rsidR="00716AF9" w:rsidRPr="00DE68A1" w:rsidRDefault="00716AF9" w:rsidP="00716AF9">
            <w:pPr>
              <w:bidi w:val="0"/>
              <w:jc w:val="center"/>
              <w:rPr>
                <w:rFonts w:asciiTheme="minorHAnsi" w:hAnsiTheme="minorHAnsi" w:cstheme="minorHAnsi"/>
                <w:b/>
                <w:bCs/>
                <w:color w:val="000000"/>
                <w:sz w:val="18"/>
                <w:szCs w:val="18"/>
              </w:rPr>
            </w:pPr>
          </w:p>
        </w:tc>
      </w:tr>
      <w:tr w:rsidR="007D5D50" w:rsidRPr="00DE68A1" w14:paraId="322C8F81" w14:textId="77777777" w:rsidTr="00A6047C">
        <w:trPr>
          <w:trHeight w:val="529"/>
        </w:trPr>
        <w:tc>
          <w:tcPr>
            <w:tcW w:w="2741" w:type="dxa"/>
            <w:vAlign w:val="center"/>
            <w:hideMark/>
          </w:tcPr>
          <w:p w14:paraId="2B8A0B09" w14:textId="77777777" w:rsidR="00716AF9" w:rsidRPr="00DE68A1" w:rsidRDefault="00716AF9" w:rsidP="00716AF9">
            <w:pPr>
              <w:bidi w:val="0"/>
              <w:rPr>
                <w:rFonts w:ascii="Calibri" w:hAnsi="Calibri"/>
                <w:b/>
                <w:color w:val="000000"/>
                <w:sz w:val="18"/>
                <w:szCs w:val="18"/>
              </w:rPr>
            </w:pPr>
            <w:r w:rsidRPr="00DE68A1">
              <w:rPr>
                <w:rFonts w:ascii="Calibri" w:hAnsi="Calibri"/>
                <w:b/>
                <w:color w:val="000000"/>
                <w:sz w:val="18"/>
                <w:szCs w:val="18"/>
              </w:rPr>
              <w:t>Coverage percentage</w:t>
            </w:r>
          </w:p>
        </w:tc>
        <w:tc>
          <w:tcPr>
            <w:tcW w:w="1083" w:type="dxa"/>
            <w:noWrap/>
            <w:vAlign w:val="center"/>
          </w:tcPr>
          <w:p w14:paraId="69D62AFD" w14:textId="3CBC97F7" w:rsidR="00716AF9" w:rsidRPr="00DE68A1" w:rsidRDefault="00716AF9" w:rsidP="00716AF9">
            <w:pPr>
              <w:bidi w:val="0"/>
              <w:jc w:val="center"/>
              <w:rPr>
                <w:rFonts w:asciiTheme="minorHAnsi" w:hAnsiTheme="minorHAnsi" w:cstheme="minorHAnsi"/>
                <w:b/>
                <w:color w:val="000000"/>
                <w:sz w:val="18"/>
                <w:szCs w:val="18"/>
              </w:rPr>
            </w:pPr>
          </w:p>
        </w:tc>
        <w:tc>
          <w:tcPr>
            <w:tcW w:w="1197" w:type="dxa"/>
            <w:noWrap/>
            <w:vAlign w:val="center"/>
          </w:tcPr>
          <w:p w14:paraId="583C1A21" w14:textId="2A1EB580" w:rsidR="00716AF9" w:rsidRPr="00DE68A1" w:rsidRDefault="00716AF9" w:rsidP="00716AF9">
            <w:pPr>
              <w:bidi w:val="0"/>
              <w:jc w:val="center"/>
              <w:rPr>
                <w:rFonts w:asciiTheme="minorHAnsi" w:hAnsiTheme="minorHAnsi" w:cstheme="minorHAnsi"/>
                <w:b/>
                <w:color w:val="000000"/>
                <w:sz w:val="18"/>
                <w:szCs w:val="18"/>
              </w:rPr>
            </w:pPr>
          </w:p>
        </w:tc>
        <w:tc>
          <w:tcPr>
            <w:tcW w:w="1254" w:type="dxa"/>
            <w:noWrap/>
            <w:vAlign w:val="center"/>
          </w:tcPr>
          <w:p w14:paraId="14C34540" w14:textId="5F17A03C" w:rsidR="00716AF9" w:rsidRPr="00DE68A1" w:rsidRDefault="009B3450" w:rsidP="00716AF9">
            <w:pPr>
              <w:bidi w:val="0"/>
              <w:jc w:val="center"/>
              <w:rPr>
                <w:rFonts w:asciiTheme="minorHAnsi" w:hAnsiTheme="minorHAnsi" w:cstheme="minorHAnsi"/>
                <w:b/>
                <w:color w:val="000000"/>
                <w:sz w:val="18"/>
                <w:szCs w:val="18"/>
              </w:rPr>
            </w:pPr>
            <w:r w:rsidRPr="00DE68A1">
              <w:rPr>
                <w:rFonts w:asciiTheme="minorHAnsi" w:hAnsiTheme="minorHAnsi" w:cstheme="minorHAnsi"/>
                <w:b/>
                <w:color w:val="000000"/>
                <w:sz w:val="18"/>
                <w:szCs w:val="18"/>
              </w:rPr>
              <w:t>0</w:t>
            </w:r>
            <w:r w:rsidR="00716AF9" w:rsidRPr="00DE68A1">
              <w:rPr>
                <w:rFonts w:asciiTheme="minorHAnsi" w:hAnsiTheme="minorHAnsi" w:cstheme="minorHAnsi"/>
                <w:b/>
                <w:color w:val="000000"/>
                <w:sz w:val="18"/>
                <w:szCs w:val="18"/>
              </w:rPr>
              <w:t>%</w:t>
            </w:r>
          </w:p>
        </w:tc>
        <w:tc>
          <w:tcPr>
            <w:tcW w:w="1441" w:type="dxa"/>
            <w:noWrap/>
            <w:vAlign w:val="center"/>
          </w:tcPr>
          <w:p w14:paraId="224452E3" w14:textId="58FCBB10" w:rsidR="00716AF9" w:rsidRPr="00DE68A1" w:rsidRDefault="00865D61" w:rsidP="00716AF9">
            <w:pPr>
              <w:bidi w:val="0"/>
              <w:jc w:val="center"/>
              <w:rPr>
                <w:rFonts w:asciiTheme="minorHAnsi" w:hAnsiTheme="minorHAnsi" w:cstheme="minorHAnsi"/>
                <w:bCs/>
                <w:color w:val="000000"/>
                <w:sz w:val="18"/>
                <w:szCs w:val="18"/>
              </w:rPr>
            </w:pPr>
            <w:r w:rsidRPr="00DE68A1">
              <w:rPr>
                <w:rFonts w:asciiTheme="minorHAnsi" w:hAnsiTheme="minorHAnsi" w:cstheme="minorHAnsi"/>
                <w:b/>
                <w:color w:val="000000"/>
                <w:sz w:val="18"/>
                <w:szCs w:val="18"/>
              </w:rPr>
              <w:t xml:space="preserve"> </w:t>
            </w:r>
            <w:r w:rsidR="009B3450" w:rsidRPr="00DE68A1">
              <w:rPr>
                <w:rFonts w:asciiTheme="minorHAnsi" w:hAnsiTheme="minorHAnsi" w:cstheme="minorHAnsi"/>
                <w:b/>
                <w:color w:val="000000"/>
                <w:sz w:val="18"/>
                <w:szCs w:val="18"/>
              </w:rPr>
              <w:t>4.24</w:t>
            </w:r>
            <w:r w:rsidR="00716AF9" w:rsidRPr="00DE68A1">
              <w:rPr>
                <w:rFonts w:asciiTheme="minorHAnsi" w:hAnsiTheme="minorHAnsi" w:cstheme="minorHAnsi"/>
                <w:b/>
                <w:color w:val="000000"/>
                <w:sz w:val="18"/>
                <w:szCs w:val="18"/>
              </w:rPr>
              <w:t>%</w:t>
            </w:r>
          </w:p>
        </w:tc>
      </w:tr>
    </w:tbl>
    <w:p w14:paraId="131D5C3C" w14:textId="77777777" w:rsidR="007D5D50" w:rsidRPr="00DE68A1" w:rsidRDefault="007D5D50" w:rsidP="007F22EC">
      <w:pPr>
        <w:bidi w:val="0"/>
        <w:ind w:left="-360" w:firstLine="540"/>
        <w:jc w:val="lowKashida"/>
        <w:rPr>
          <w:b/>
        </w:rPr>
      </w:pPr>
    </w:p>
    <w:p w14:paraId="1A70DB41" w14:textId="77777777" w:rsidR="009915BA" w:rsidRDefault="009915BA" w:rsidP="007D5D50">
      <w:pPr>
        <w:bidi w:val="0"/>
        <w:ind w:left="-360" w:firstLine="540"/>
        <w:jc w:val="lowKashida"/>
        <w:rPr>
          <w:b/>
        </w:rPr>
      </w:pPr>
    </w:p>
    <w:p w14:paraId="21F941EA" w14:textId="284C8401" w:rsidR="00131B91" w:rsidRPr="00DE68A1" w:rsidRDefault="00CC5906" w:rsidP="009915BA">
      <w:pPr>
        <w:bidi w:val="0"/>
        <w:ind w:left="-360" w:firstLine="540"/>
        <w:jc w:val="lowKashida"/>
        <w:rPr>
          <w:b/>
          <w:i/>
          <w:iCs/>
        </w:rPr>
      </w:pPr>
      <w:r w:rsidRPr="00DE68A1">
        <w:rPr>
          <w:b/>
        </w:rPr>
        <w:lastRenderedPageBreak/>
        <w:t>C</w:t>
      </w:r>
      <w:r w:rsidR="00131B91" w:rsidRPr="00DE68A1">
        <w:rPr>
          <w:b/>
        </w:rPr>
        <w:t>redit risk mitigation</w:t>
      </w:r>
    </w:p>
    <w:p w14:paraId="72627902" w14:textId="77777777" w:rsidR="000A01BA" w:rsidRPr="00DE68A1" w:rsidRDefault="000A01BA" w:rsidP="000A01BA">
      <w:pPr>
        <w:bidi w:val="0"/>
        <w:ind w:left="-360"/>
        <w:rPr>
          <w:u w:val="single"/>
        </w:rPr>
      </w:pPr>
    </w:p>
    <w:p w14:paraId="46C93B1C" w14:textId="77777777" w:rsidR="000A01BA" w:rsidRPr="00DE68A1" w:rsidRDefault="000A01BA" w:rsidP="00781E76">
      <w:pPr>
        <w:bidi w:val="0"/>
        <w:ind w:left="180" w:hanging="540"/>
        <w:jc w:val="both"/>
      </w:pPr>
      <w:r w:rsidRPr="00DE68A1">
        <w:t xml:space="preserve">         Netting: In cases where the Bank's claims against customers are not settled, the Bank exercises set-off rights and pursues its claim on a net basis. During the </w:t>
      </w:r>
      <w:r w:rsidR="008C6CE1" w:rsidRPr="00DE68A1">
        <w:t>course</w:t>
      </w:r>
      <w:r w:rsidRPr="00DE68A1">
        <w:t xml:space="preserve"> of any legal action, the Bank preserves its claim at the original net level, disregarding any partial payment(s) in order to avoid inadvertently triggering any legal issues that could otherwise arise. </w:t>
      </w:r>
    </w:p>
    <w:p w14:paraId="30ED84E7" w14:textId="77777777" w:rsidR="000A01BA" w:rsidRPr="00DE68A1" w:rsidRDefault="000A01BA" w:rsidP="000A01BA">
      <w:pPr>
        <w:bidi w:val="0"/>
        <w:ind w:left="-360"/>
        <w:jc w:val="lowKashida"/>
      </w:pPr>
    </w:p>
    <w:p w14:paraId="231062B1" w14:textId="1A07897B" w:rsidR="000A01BA" w:rsidRPr="00DE68A1" w:rsidRDefault="000A01BA" w:rsidP="00CC5906">
      <w:pPr>
        <w:bidi w:val="0"/>
        <w:ind w:left="180" w:hanging="540"/>
        <w:jc w:val="lowKashida"/>
      </w:pPr>
      <w:r w:rsidRPr="00DE68A1">
        <w:t xml:space="preserve">         </w:t>
      </w:r>
      <w:r w:rsidRPr="00DE68A1">
        <w:rPr>
          <w:b/>
        </w:rPr>
        <w:t>Collateral Valuation and Management:</w:t>
      </w:r>
      <w:r w:rsidRPr="00DE68A1">
        <w:t xml:space="preserve"> In cases where collateral is to be taken, the Bank accepts </w:t>
      </w:r>
      <w:r w:rsidR="008D15BF" w:rsidRPr="00DE68A1">
        <w:t>standard collateral</w:t>
      </w:r>
      <w:r w:rsidRPr="00DE68A1">
        <w:t xml:space="preserve"> types such as cash, chattel mortgage over movable assets, mortgage over fixed assets, personal / corporate/ bank guarantees etc. In the case of mortgages, the Bank insists on being named the loss-payee in the related insurance policy. Where guarantees are taken, the Bank satisfies itself of the creditworthiness of the guarantor by obtaining full financial information about the guarantor, on the rationale that the Bank views the guarantor as though he were himself the primary obligor who would himself have to be eligible for the size of the commitment. In respect of bank guarantees, a formal guarantor line for the bank concerned is a pre-requisite.</w:t>
      </w:r>
    </w:p>
    <w:p w14:paraId="46A6F2CC" w14:textId="77777777" w:rsidR="000A01BA" w:rsidRPr="00DE68A1" w:rsidRDefault="000A01BA" w:rsidP="000A01BA">
      <w:pPr>
        <w:bidi w:val="0"/>
        <w:ind w:left="-360"/>
        <w:jc w:val="lowKashida"/>
      </w:pPr>
    </w:p>
    <w:p w14:paraId="0DBD556D" w14:textId="77777777" w:rsidR="000A01BA" w:rsidRPr="00DE68A1" w:rsidRDefault="000A01BA" w:rsidP="000A01BA">
      <w:pPr>
        <w:bidi w:val="0"/>
        <w:ind w:left="180"/>
        <w:jc w:val="lowKashida"/>
      </w:pPr>
      <w:r w:rsidRPr="00DE68A1">
        <w:t>Given its status as a specialized industrial finance institution, the Bank has sufficient skills and means in-house to evaluate projects, factories and other types of fixed assets under mortgage to the Bank.</w:t>
      </w:r>
    </w:p>
    <w:p w14:paraId="3382FDDB" w14:textId="77777777" w:rsidR="000A01BA" w:rsidRPr="00DE68A1" w:rsidRDefault="000A01BA" w:rsidP="000A01BA">
      <w:pPr>
        <w:bidi w:val="0"/>
        <w:ind w:left="-360"/>
        <w:jc w:val="lowKashida"/>
      </w:pPr>
    </w:p>
    <w:p w14:paraId="43518A6F" w14:textId="469033AD" w:rsidR="000A01BA" w:rsidRPr="00DE68A1" w:rsidRDefault="000A01BA" w:rsidP="003A1D2B">
      <w:pPr>
        <w:bidi w:val="0"/>
        <w:ind w:left="180" w:hanging="540"/>
        <w:jc w:val="lowKashida"/>
      </w:pPr>
      <w:r w:rsidRPr="00DE68A1">
        <w:t xml:space="preserve">         </w:t>
      </w:r>
      <w:r w:rsidRPr="00DE68A1">
        <w:rPr>
          <w:b/>
        </w:rPr>
        <w:t>Credit Risk Concentration:</w:t>
      </w:r>
      <w:r w:rsidRPr="00DE68A1">
        <w:t xml:space="preserve"> The Bank's charter limits its </w:t>
      </w:r>
      <w:r w:rsidR="005C4F08" w:rsidRPr="00DE68A1">
        <w:t>customer base</w:t>
      </w:r>
      <w:r w:rsidRPr="00DE68A1">
        <w:t xml:space="preserve"> to manufacturing industries</w:t>
      </w:r>
      <w:r w:rsidR="004A5839" w:rsidRPr="00DE68A1">
        <w:rPr>
          <w:color w:val="FF0000"/>
        </w:rPr>
        <w:t xml:space="preserve"> </w:t>
      </w:r>
      <w:r w:rsidR="004A5839" w:rsidRPr="00DE68A1">
        <w:rPr>
          <w:color w:val="000000"/>
        </w:rPr>
        <w:t xml:space="preserve">specifically to entities holding industrial </w:t>
      </w:r>
      <w:r w:rsidR="0017682E" w:rsidRPr="00DE68A1">
        <w:rPr>
          <w:color w:val="000000"/>
        </w:rPr>
        <w:t>license</w:t>
      </w:r>
      <w:r w:rsidRPr="00DE68A1">
        <w:rPr>
          <w:color w:val="000000"/>
        </w:rPr>
        <w:t xml:space="preserve">. </w:t>
      </w:r>
      <w:r w:rsidR="001B6D0F" w:rsidRPr="00DE68A1">
        <w:rPr>
          <w:color w:val="000000"/>
        </w:rPr>
        <w:t>Accordingly, there is a credit concentration in the industrial sector.</w:t>
      </w:r>
      <w:r w:rsidR="005F3E8F" w:rsidRPr="00DE68A1">
        <w:rPr>
          <w:color w:val="000000"/>
        </w:rPr>
        <w:t xml:space="preserve"> </w:t>
      </w:r>
      <w:r w:rsidRPr="00DE68A1">
        <w:rPr>
          <w:color w:val="000000"/>
        </w:rPr>
        <w:t>Within that</w:t>
      </w:r>
      <w:r w:rsidRPr="00DE68A1">
        <w:t xml:space="preserve"> class, the Bank's portfolio is composed of customers spanning a wide variety of </w:t>
      </w:r>
      <w:r w:rsidR="005C4F08" w:rsidRPr="00DE68A1">
        <w:t>activities</w:t>
      </w:r>
      <w:r w:rsidRPr="00DE68A1">
        <w:t>.</w:t>
      </w:r>
      <w:r w:rsidR="00823FFC" w:rsidRPr="00DE68A1">
        <w:t xml:space="preserve"> Additionally, the Bank participates in syndicated loans to non-resident banks.</w:t>
      </w:r>
      <w:r w:rsidRPr="00DE68A1">
        <w:t xml:space="preserve"> </w:t>
      </w:r>
      <w:r w:rsidR="005F3E8F" w:rsidRPr="00DE68A1">
        <w:t>T</w:t>
      </w:r>
      <w:r w:rsidRPr="00DE68A1">
        <w:t xml:space="preserve">he Bank's </w:t>
      </w:r>
      <w:r w:rsidR="005C4F08" w:rsidRPr="00DE68A1">
        <w:t>customer base</w:t>
      </w:r>
      <w:r w:rsidRPr="00DE68A1">
        <w:t xml:space="preserve"> is not subject to any significant degree of cyclicality.</w:t>
      </w:r>
    </w:p>
    <w:p w14:paraId="060CFDF5" w14:textId="77777777" w:rsidR="009866A4" w:rsidRPr="00DE68A1" w:rsidRDefault="009866A4" w:rsidP="003E51D4">
      <w:pPr>
        <w:pStyle w:val="BodyText"/>
        <w:ind w:left="180"/>
        <w:rPr>
          <w:b/>
        </w:rPr>
      </w:pPr>
    </w:p>
    <w:p w14:paraId="001F26C0" w14:textId="163D37D4" w:rsidR="00725A72" w:rsidRPr="00DE68A1" w:rsidRDefault="00725A72" w:rsidP="003E51D4">
      <w:pPr>
        <w:pStyle w:val="BodyText"/>
        <w:ind w:left="180"/>
        <w:rPr>
          <w:b/>
        </w:rPr>
      </w:pPr>
      <w:r w:rsidRPr="00DE68A1">
        <w:rPr>
          <w:b/>
        </w:rPr>
        <w:t>Credit Exposure after risk mitigation and credit conversion factor</w:t>
      </w:r>
      <w:r w:rsidR="00D03BA1" w:rsidRPr="00DE68A1">
        <w:rPr>
          <w:b/>
        </w:rPr>
        <w:t xml:space="preserve"> as on</w:t>
      </w:r>
      <w:r w:rsidR="004C593F" w:rsidRPr="00DE68A1">
        <w:rPr>
          <w:b/>
        </w:rPr>
        <w:t xml:space="preserve"> 31</w:t>
      </w:r>
      <w:r w:rsidR="00F52ADB" w:rsidRPr="00DE68A1">
        <w:rPr>
          <w:b/>
          <w:vertAlign w:val="superscript"/>
        </w:rPr>
        <w:t>st</w:t>
      </w:r>
      <w:r w:rsidR="009B3450" w:rsidRPr="00DE68A1">
        <w:rPr>
          <w:b/>
        </w:rPr>
        <w:t xml:space="preserve"> </w:t>
      </w:r>
      <w:r w:rsidR="00F52ADB" w:rsidRPr="00DE68A1">
        <w:rPr>
          <w:b/>
        </w:rPr>
        <w:t>December</w:t>
      </w:r>
      <w:r w:rsidR="009866A4" w:rsidRPr="00DE68A1">
        <w:rPr>
          <w:b/>
        </w:rPr>
        <w:t>,</w:t>
      </w:r>
      <w:r w:rsidR="0093070D" w:rsidRPr="00DE68A1">
        <w:rPr>
          <w:b/>
        </w:rPr>
        <w:t xml:space="preserve"> </w:t>
      </w:r>
      <w:r w:rsidR="00E01875" w:rsidRPr="00DE68A1">
        <w:rPr>
          <w:b/>
        </w:rPr>
        <w:t>202</w:t>
      </w:r>
      <w:r w:rsidR="009B3450" w:rsidRPr="00DE68A1">
        <w:rPr>
          <w:b/>
        </w:rPr>
        <w:t>5</w:t>
      </w:r>
      <w:r w:rsidR="008D15BF" w:rsidRPr="00DE68A1">
        <w:rPr>
          <w:b/>
        </w:rPr>
        <w:t>:</w:t>
      </w:r>
    </w:p>
    <w:p w14:paraId="02418A1C" w14:textId="77777777" w:rsidR="00D008A5" w:rsidRPr="00DE68A1" w:rsidRDefault="00D008A5" w:rsidP="00D008A5">
      <w:pPr>
        <w:bidi w:val="0"/>
        <w:ind w:left="180" w:hanging="540"/>
        <w:jc w:val="center"/>
        <w:rPr>
          <w:rFonts w:ascii="Arial" w:hAnsi="Arial" w:cs="Arial"/>
          <w:b/>
          <w:bCs/>
          <w:color w:val="000000" w:themeColor="text1"/>
          <w:sz w:val="20"/>
          <w:szCs w:val="20"/>
        </w:rPr>
      </w:pPr>
    </w:p>
    <w:tbl>
      <w:tblPr>
        <w:tblW w:w="8230" w:type="dxa"/>
        <w:jc w:val="center"/>
        <w:tblLook w:val="04A0" w:firstRow="1" w:lastRow="0" w:firstColumn="1" w:lastColumn="0" w:noHBand="0" w:noVBand="1"/>
      </w:tblPr>
      <w:tblGrid>
        <w:gridCol w:w="3220"/>
        <w:gridCol w:w="1555"/>
        <w:gridCol w:w="1565"/>
        <w:gridCol w:w="1890"/>
      </w:tblGrid>
      <w:tr w:rsidR="0031404A" w:rsidRPr="00DE68A1" w14:paraId="4956B111" w14:textId="77777777" w:rsidTr="00A22865">
        <w:trPr>
          <w:trHeight w:val="605"/>
          <w:jc w:val="center"/>
        </w:trPr>
        <w:tc>
          <w:tcPr>
            <w:tcW w:w="8230" w:type="dxa"/>
            <w:gridSpan w:val="4"/>
            <w:tcBorders>
              <w:top w:val="single" w:sz="8" w:space="0" w:color="auto"/>
              <w:left w:val="single" w:sz="8" w:space="0" w:color="auto"/>
              <w:bottom w:val="single" w:sz="4" w:space="0" w:color="auto"/>
              <w:right w:val="single" w:sz="8" w:space="0" w:color="000000"/>
            </w:tcBorders>
            <w:shd w:val="clear" w:color="000000" w:fill="002060"/>
            <w:vAlign w:val="center"/>
            <w:hideMark/>
          </w:tcPr>
          <w:p w14:paraId="54CF8C1A" w14:textId="438EE849" w:rsidR="00617B1F" w:rsidRPr="00DE68A1" w:rsidRDefault="0031404A" w:rsidP="00E01331">
            <w:pPr>
              <w:jc w:val="center"/>
              <w:rPr>
                <w:rFonts w:asciiTheme="minorHAnsi" w:hAnsiTheme="minorHAnsi" w:cstheme="minorHAnsi"/>
                <w:b/>
                <w:bCs/>
                <w:color w:val="FFFFFF"/>
                <w:sz w:val="18"/>
                <w:szCs w:val="18"/>
              </w:rPr>
            </w:pPr>
            <w:r w:rsidRPr="00DE68A1">
              <w:rPr>
                <w:rFonts w:asciiTheme="minorHAnsi" w:hAnsiTheme="minorHAnsi" w:cstheme="minorHAnsi"/>
                <w:b/>
                <w:bCs/>
                <w:color w:val="FFFFFF"/>
                <w:sz w:val="18"/>
                <w:szCs w:val="18"/>
              </w:rPr>
              <w:t>Credit Exposure after Credit Risk Mitigation (CRM) and credit conversion factor: 31.12.</w:t>
            </w:r>
            <w:r w:rsidR="00E01875" w:rsidRPr="00DE68A1">
              <w:rPr>
                <w:rFonts w:asciiTheme="minorHAnsi" w:hAnsiTheme="minorHAnsi" w:cstheme="minorHAnsi"/>
                <w:b/>
                <w:bCs/>
                <w:color w:val="FFFFFF"/>
                <w:sz w:val="18"/>
                <w:szCs w:val="18"/>
              </w:rPr>
              <w:t>202</w:t>
            </w:r>
            <w:r w:rsidR="009B3450" w:rsidRPr="00DE68A1">
              <w:rPr>
                <w:rFonts w:asciiTheme="minorHAnsi" w:hAnsiTheme="minorHAnsi" w:cstheme="minorHAnsi"/>
                <w:b/>
                <w:bCs/>
                <w:color w:val="FFFFFF"/>
                <w:sz w:val="18"/>
                <w:szCs w:val="18"/>
              </w:rPr>
              <w:t>5</w:t>
            </w:r>
          </w:p>
          <w:p w14:paraId="12E72A83" w14:textId="4AAFC96F" w:rsidR="0031404A" w:rsidRPr="00DE68A1" w:rsidRDefault="0031404A" w:rsidP="00E01331">
            <w:pPr>
              <w:jc w:val="center"/>
              <w:rPr>
                <w:rFonts w:asciiTheme="minorHAnsi" w:hAnsiTheme="minorHAnsi" w:cstheme="minorHAnsi"/>
                <w:b/>
                <w:bCs/>
                <w:color w:val="FFFFFF"/>
                <w:sz w:val="18"/>
                <w:szCs w:val="18"/>
              </w:rPr>
            </w:pPr>
            <w:r w:rsidRPr="00DE68A1">
              <w:rPr>
                <w:rFonts w:asciiTheme="minorHAnsi" w:hAnsiTheme="minorHAnsi" w:cstheme="minorHAnsi"/>
                <w:b/>
                <w:bCs/>
                <w:color w:val="FFFFFF"/>
                <w:sz w:val="18"/>
                <w:szCs w:val="18"/>
              </w:rPr>
              <w:t xml:space="preserve"> (All figures in KD '000)</w:t>
            </w:r>
          </w:p>
        </w:tc>
      </w:tr>
      <w:tr w:rsidR="0031404A" w:rsidRPr="00DE68A1" w14:paraId="7AA0FC46" w14:textId="77777777" w:rsidTr="00A22865">
        <w:trPr>
          <w:trHeight w:val="455"/>
          <w:jc w:val="center"/>
        </w:trPr>
        <w:tc>
          <w:tcPr>
            <w:tcW w:w="3220" w:type="dxa"/>
            <w:tcBorders>
              <w:top w:val="nil"/>
              <w:left w:val="single" w:sz="8" w:space="0" w:color="auto"/>
              <w:bottom w:val="single" w:sz="4" w:space="0" w:color="auto"/>
              <w:right w:val="single" w:sz="4" w:space="0" w:color="auto"/>
            </w:tcBorders>
            <w:shd w:val="clear" w:color="000000" w:fill="D9E1F2"/>
            <w:noWrap/>
            <w:vAlign w:val="center"/>
            <w:hideMark/>
          </w:tcPr>
          <w:p w14:paraId="1DD3ABF9" w14:textId="77777777" w:rsidR="0031404A" w:rsidRPr="00DE68A1" w:rsidRDefault="0031404A" w:rsidP="00242A6F">
            <w:pPr>
              <w:jc w:val="right"/>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Asset Categories</w:t>
            </w:r>
          </w:p>
        </w:tc>
        <w:tc>
          <w:tcPr>
            <w:tcW w:w="1555" w:type="dxa"/>
            <w:tcBorders>
              <w:top w:val="nil"/>
              <w:left w:val="nil"/>
              <w:bottom w:val="single" w:sz="4" w:space="0" w:color="auto"/>
              <w:right w:val="single" w:sz="4" w:space="0" w:color="auto"/>
            </w:tcBorders>
            <w:shd w:val="clear" w:color="000000" w:fill="D9E1F2"/>
            <w:vAlign w:val="center"/>
            <w:hideMark/>
          </w:tcPr>
          <w:p w14:paraId="5C793E48" w14:textId="77777777" w:rsidR="0031404A" w:rsidRPr="00DE68A1" w:rsidRDefault="0031404A" w:rsidP="00242A6F">
            <w:pPr>
              <w:jc w:val="right"/>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Credit Exposure before CRM</w:t>
            </w:r>
          </w:p>
        </w:tc>
        <w:tc>
          <w:tcPr>
            <w:tcW w:w="1565" w:type="dxa"/>
            <w:tcBorders>
              <w:top w:val="nil"/>
              <w:left w:val="nil"/>
              <w:bottom w:val="single" w:sz="4" w:space="0" w:color="auto"/>
              <w:right w:val="single" w:sz="4" w:space="0" w:color="auto"/>
            </w:tcBorders>
            <w:shd w:val="clear" w:color="000000" w:fill="D9E1F2"/>
            <w:vAlign w:val="center"/>
            <w:hideMark/>
          </w:tcPr>
          <w:p w14:paraId="32572D4B" w14:textId="77777777" w:rsidR="0031404A" w:rsidRPr="00DE68A1" w:rsidRDefault="0031404A" w:rsidP="00242A6F">
            <w:pPr>
              <w:jc w:val="right"/>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Credit Exposure after CRM</w:t>
            </w:r>
          </w:p>
        </w:tc>
        <w:tc>
          <w:tcPr>
            <w:tcW w:w="1890" w:type="dxa"/>
            <w:tcBorders>
              <w:top w:val="nil"/>
              <w:left w:val="nil"/>
              <w:bottom w:val="single" w:sz="4" w:space="0" w:color="auto"/>
              <w:right w:val="single" w:sz="8" w:space="0" w:color="auto"/>
            </w:tcBorders>
            <w:shd w:val="clear" w:color="000000" w:fill="D9E1F2"/>
            <w:vAlign w:val="center"/>
            <w:hideMark/>
          </w:tcPr>
          <w:p w14:paraId="5571679E" w14:textId="77777777" w:rsidR="0031404A" w:rsidRPr="00DE68A1" w:rsidRDefault="0031404A" w:rsidP="00242A6F">
            <w:pPr>
              <w:jc w:val="right"/>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Credit Risk Weighted Assets</w:t>
            </w:r>
          </w:p>
        </w:tc>
      </w:tr>
      <w:tr w:rsidR="005C4F08" w:rsidRPr="00DE68A1" w14:paraId="1E3E08F1" w14:textId="77777777" w:rsidTr="00A35EFC">
        <w:trPr>
          <w:trHeight w:val="300"/>
          <w:jc w:val="center"/>
        </w:trPr>
        <w:tc>
          <w:tcPr>
            <w:tcW w:w="3220" w:type="dxa"/>
            <w:tcBorders>
              <w:top w:val="nil"/>
              <w:left w:val="single" w:sz="8" w:space="0" w:color="auto"/>
              <w:bottom w:val="single" w:sz="4" w:space="0" w:color="auto"/>
              <w:right w:val="single" w:sz="4" w:space="0" w:color="auto"/>
            </w:tcBorders>
            <w:noWrap/>
            <w:vAlign w:val="bottom"/>
            <w:hideMark/>
          </w:tcPr>
          <w:p w14:paraId="0CFB0E81" w14:textId="6F3337AB" w:rsidR="005C4F08" w:rsidRPr="00DE68A1" w:rsidRDefault="005C4F08" w:rsidP="005C4F08">
            <w:pPr>
              <w:pStyle w:val="BodyText"/>
              <w:jc w:val="left"/>
              <w:rPr>
                <w:rFonts w:asciiTheme="minorHAnsi" w:hAnsiTheme="minorHAnsi" w:cstheme="minorHAnsi"/>
                <w:sz w:val="18"/>
                <w:szCs w:val="18"/>
              </w:rPr>
            </w:pPr>
            <w:r w:rsidRPr="00DE68A1">
              <w:rPr>
                <w:rFonts w:asciiTheme="minorHAnsi" w:hAnsiTheme="minorHAnsi" w:cstheme="minorHAnsi"/>
                <w:color w:val="000000"/>
                <w:sz w:val="18"/>
                <w:szCs w:val="18"/>
              </w:rPr>
              <w:t>Cash Items</w:t>
            </w:r>
          </w:p>
        </w:tc>
        <w:tc>
          <w:tcPr>
            <w:tcW w:w="1555" w:type="dxa"/>
            <w:tcBorders>
              <w:top w:val="nil"/>
              <w:left w:val="nil"/>
              <w:bottom w:val="single" w:sz="4" w:space="0" w:color="auto"/>
              <w:right w:val="single" w:sz="4" w:space="0" w:color="auto"/>
            </w:tcBorders>
            <w:noWrap/>
            <w:vAlign w:val="center"/>
          </w:tcPr>
          <w:p w14:paraId="1668351F" w14:textId="417D0433" w:rsidR="005C4F08" w:rsidRPr="00DE68A1" w:rsidRDefault="005C4F08" w:rsidP="005C4F08">
            <w:pPr>
              <w:rPr>
                <w:rFonts w:asciiTheme="minorHAnsi" w:hAnsiTheme="minorHAnsi" w:cstheme="minorHAnsi"/>
                <w:color w:val="000000"/>
                <w:sz w:val="18"/>
                <w:szCs w:val="18"/>
              </w:rPr>
            </w:pPr>
            <w:r w:rsidRPr="007D5102">
              <w:rPr>
                <w:rFonts w:asciiTheme="minorHAnsi" w:eastAsiaTheme="minorEastAsia" w:hAnsiTheme="minorHAnsi" w:cstheme="minorHAnsi"/>
                <w:bCs/>
                <w:color w:val="000000"/>
                <w:sz w:val="18"/>
                <w:szCs w:val="18"/>
              </w:rPr>
              <w:t>403</w:t>
            </w:r>
          </w:p>
        </w:tc>
        <w:tc>
          <w:tcPr>
            <w:tcW w:w="1565" w:type="dxa"/>
            <w:tcBorders>
              <w:top w:val="nil"/>
              <w:left w:val="nil"/>
              <w:bottom w:val="single" w:sz="4" w:space="0" w:color="auto"/>
              <w:right w:val="single" w:sz="4" w:space="0" w:color="auto"/>
            </w:tcBorders>
            <w:noWrap/>
            <w:vAlign w:val="center"/>
          </w:tcPr>
          <w:p w14:paraId="36CA99F7" w14:textId="491BBAED" w:rsidR="005C4F08" w:rsidRPr="00DE68A1" w:rsidRDefault="005C4F08" w:rsidP="005C4F08">
            <w:pPr>
              <w:rPr>
                <w:rFonts w:asciiTheme="minorHAnsi" w:hAnsiTheme="minorHAnsi" w:cstheme="minorHAnsi"/>
                <w:color w:val="000000"/>
                <w:sz w:val="18"/>
                <w:szCs w:val="18"/>
              </w:rPr>
            </w:pPr>
            <w:r w:rsidRPr="007D5102">
              <w:rPr>
                <w:rFonts w:asciiTheme="minorHAnsi" w:eastAsiaTheme="minorEastAsia" w:hAnsiTheme="minorHAnsi" w:cstheme="minorHAnsi"/>
                <w:bCs/>
                <w:color w:val="000000"/>
                <w:sz w:val="18"/>
                <w:szCs w:val="18"/>
              </w:rPr>
              <w:t>403</w:t>
            </w:r>
          </w:p>
        </w:tc>
        <w:tc>
          <w:tcPr>
            <w:tcW w:w="1890" w:type="dxa"/>
            <w:tcBorders>
              <w:top w:val="nil"/>
              <w:left w:val="nil"/>
              <w:bottom w:val="single" w:sz="4" w:space="0" w:color="auto"/>
              <w:right w:val="single" w:sz="8" w:space="0" w:color="auto"/>
            </w:tcBorders>
            <w:noWrap/>
            <w:vAlign w:val="center"/>
            <w:hideMark/>
          </w:tcPr>
          <w:p w14:paraId="158158F2" w14:textId="06DF0F33" w:rsidR="005C4F08" w:rsidRPr="00DE68A1" w:rsidRDefault="005C4F08" w:rsidP="005C4F08">
            <w:pPr>
              <w:rPr>
                <w:rFonts w:asciiTheme="minorHAnsi" w:hAnsiTheme="minorHAnsi" w:cstheme="minorHAnsi"/>
                <w:color w:val="000000"/>
                <w:sz w:val="18"/>
                <w:szCs w:val="18"/>
              </w:rPr>
            </w:pPr>
            <w:r w:rsidRPr="007D5102">
              <w:rPr>
                <w:rFonts w:asciiTheme="minorHAnsi" w:eastAsiaTheme="minorEastAsia" w:hAnsiTheme="minorHAnsi" w:cstheme="minorHAnsi"/>
                <w:bCs/>
                <w:color w:val="000000"/>
                <w:sz w:val="18"/>
                <w:szCs w:val="18"/>
              </w:rPr>
              <w:t>0</w:t>
            </w:r>
          </w:p>
        </w:tc>
      </w:tr>
      <w:tr w:rsidR="005C4F08" w:rsidRPr="00DE68A1" w14:paraId="62AF23AD" w14:textId="77777777" w:rsidTr="00A35EFC">
        <w:trPr>
          <w:trHeight w:val="300"/>
          <w:jc w:val="center"/>
        </w:trPr>
        <w:tc>
          <w:tcPr>
            <w:tcW w:w="3220" w:type="dxa"/>
            <w:tcBorders>
              <w:top w:val="nil"/>
              <w:left w:val="single" w:sz="8" w:space="0" w:color="auto"/>
              <w:bottom w:val="single" w:sz="4" w:space="0" w:color="auto"/>
              <w:right w:val="single" w:sz="4" w:space="0" w:color="auto"/>
            </w:tcBorders>
            <w:noWrap/>
            <w:vAlign w:val="bottom"/>
            <w:hideMark/>
          </w:tcPr>
          <w:p w14:paraId="4CE9D4E6" w14:textId="7E24F0FA" w:rsidR="005C4F08" w:rsidRPr="00DE68A1" w:rsidRDefault="005C4F08" w:rsidP="005C4F08">
            <w:pPr>
              <w:pStyle w:val="BodyText"/>
              <w:jc w:val="left"/>
              <w:rPr>
                <w:rFonts w:asciiTheme="minorHAnsi" w:hAnsiTheme="minorHAnsi" w:cstheme="minorHAnsi"/>
                <w:sz w:val="18"/>
                <w:szCs w:val="18"/>
              </w:rPr>
            </w:pPr>
            <w:r w:rsidRPr="00DE68A1">
              <w:rPr>
                <w:rFonts w:asciiTheme="minorHAnsi" w:hAnsiTheme="minorHAnsi" w:cstheme="minorHAnsi"/>
                <w:color w:val="000000"/>
                <w:sz w:val="18"/>
                <w:szCs w:val="18"/>
              </w:rPr>
              <w:t>Claims on Sovereigns</w:t>
            </w:r>
          </w:p>
        </w:tc>
        <w:tc>
          <w:tcPr>
            <w:tcW w:w="1555" w:type="dxa"/>
            <w:tcBorders>
              <w:top w:val="nil"/>
              <w:left w:val="nil"/>
              <w:bottom w:val="single" w:sz="4" w:space="0" w:color="auto"/>
              <w:right w:val="single" w:sz="4" w:space="0" w:color="auto"/>
            </w:tcBorders>
            <w:noWrap/>
            <w:vAlign w:val="center"/>
          </w:tcPr>
          <w:p w14:paraId="4199631B" w14:textId="30B00290" w:rsidR="005C4F08" w:rsidRPr="00DE68A1" w:rsidRDefault="005C4F08" w:rsidP="005C4F08">
            <w:pPr>
              <w:rPr>
                <w:rFonts w:asciiTheme="minorHAnsi" w:hAnsiTheme="minorHAnsi" w:cstheme="minorHAnsi"/>
                <w:color w:val="000000"/>
                <w:sz w:val="18"/>
                <w:szCs w:val="18"/>
              </w:rPr>
            </w:pPr>
            <w:r w:rsidRPr="007D5102">
              <w:rPr>
                <w:rFonts w:asciiTheme="minorHAnsi" w:eastAsiaTheme="minorEastAsia" w:hAnsiTheme="minorHAnsi" w:cstheme="minorHAnsi"/>
                <w:bCs/>
                <w:color w:val="000000"/>
                <w:sz w:val="18"/>
                <w:szCs w:val="18"/>
              </w:rPr>
              <w:t>77,624</w:t>
            </w:r>
          </w:p>
        </w:tc>
        <w:tc>
          <w:tcPr>
            <w:tcW w:w="1565" w:type="dxa"/>
            <w:tcBorders>
              <w:top w:val="nil"/>
              <w:left w:val="nil"/>
              <w:bottom w:val="single" w:sz="4" w:space="0" w:color="auto"/>
              <w:right w:val="single" w:sz="4" w:space="0" w:color="auto"/>
            </w:tcBorders>
            <w:noWrap/>
            <w:vAlign w:val="center"/>
          </w:tcPr>
          <w:p w14:paraId="347BDDB3" w14:textId="4E430063" w:rsidR="005C4F08" w:rsidRPr="00DE68A1" w:rsidRDefault="005C4F08" w:rsidP="005C4F08">
            <w:pPr>
              <w:rPr>
                <w:rFonts w:asciiTheme="minorHAnsi" w:hAnsiTheme="minorHAnsi" w:cstheme="minorHAnsi"/>
                <w:color w:val="000000"/>
                <w:sz w:val="18"/>
                <w:szCs w:val="18"/>
              </w:rPr>
            </w:pPr>
            <w:r w:rsidRPr="007D5102">
              <w:rPr>
                <w:rFonts w:asciiTheme="minorHAnsi" w:eastAsiaTheme="minorEastAsia" w:hAnsiTheme="minorHAnsi" w:cstheme="minorHAnsi"/>
                <w:bCs/>
                <w:color w:val="000000"/>
                <w:sz w:val="18"/>
                <w:szCs w:val="18"/>
              </w:rPr>
              <w:t>77,624</w:t>
            </w:r>
          </w:p>
        </w:tc>
        <w:tc>
          <w:tcPr>
            <w:tcW w:w="1890" w:type="dxa"/>
            <w:tcBorders>
              <w:top w:val="nil"/>
              <w:left w:val="nil"/>
              <w:bottom w:val="single" w:sz="4" w:space="0" w:color="auto"/>
              <w:right w:val="single" w:sz="8" w:space="0" w:color="auto"/>
            </w:tcBorders>
            <w:noWrap/>
            <w:vAlign w:val="center"/>
          </w:tcPr>
          <w:p w14:paraId="0EF4DC2B" w14:textId="399FE395" w:rsidR="005C4F08" w:rsidRPr="00DE68A1" w:rsidRDefault="005C4F08" w:rsidP="005C4F08">
            <w:pPr>
              <w:rPr>
                <w:rFonts w:asciiTheme="minorHAnsi" w:hAnsiTheme="minorHAnsi" w:cstheme="minorHAnsi"/>
                <w:color w:val="000000"/>
                <w:sz w:val="18"/>
                <w:szCs w:val="18"/>
              </w:rPr>
            </w:pPr>
            <w:r w:rsidRPr="007D5102">
              <w:rPr>
                <w:rFonts w:asciiTheme="minorHAnsi" w:eastAsiaTheme="minorEastAsia" w:hAnsiTheme="minorHAnsi" w:cstheme="minorHAnsi"/>
                <w:bCs/>
                <w:color w:val="000000"/>
                <w:sz w:val="18"/>
                <w:szCs w:val="18"/>
              </w:rPr>
              <w:t>0</w:t>
            </w:r>
          </w:p>
        </w:tc>
      </w:tr>
      <w:tr w:rsidR="005C4F08" w:rsidRPr="00DE68A1" w14:paraId="53525FD6" w14:textId="77777777" w:rsidTr="00A35EFC">
        <w:trPr>
          <w:trHeight w:val="300"/>
          <w:jc w:val="center"/>
        </w:trPr>
        <w:tc>
          <w:tcPr>
            <w:tcW w:w="3220" w:type="dxa"/>
            <w:tcBorders>
              <w:top w:val="nil"/>
              <w:left w:val="single" w:sz="8" w:space="0" w:color="auto"/>
              <w:bottom w:val="single" w:sz="4" w:space="0" w:color="auto"/>
              <w:right w:val="single" w:sz="4" w:space="0" w:color="auto"/>
            </w:tcBorders>
            <w:noWrap/>
            <w:vAlign w:val="bottom"/>
            <w:hideMark/>
          </w:tcPr>
          <w:p w14:paraId="73F89DAE" w14:textId="2B40F7E2" w:rsidR="005C4F08" w:rsidRPr="00DE68A1" w:rsidRDefault="005C4F08" w:rsidP="005C4F08">
            <w:pPr>
              <w:pStyle w:val="BodyText"/>
              <w:jc w:val="left"/>
              <w:rPr>
                <w:rFonts w:asciiTheme="minorHAnsi" w:hAnsiTheme="minorHAnsi" w:cstheme="minorHAnsi"/>
                <w:sz w:val="18"/>
                <w:szCs w:val="18"/>
              </w:rPr>
            </w:pPr>
            <w:r w:rsidRPr="00DE68A1">
              <w:rPr>
                <w:rFonts w:asciiTheme="minorHAnsi" w:hAnsiTheme="minorHAnsi" w:cstheme="minorHAnsi"/>
                <w:color w:val="000000"/>
                <w:sz w:val="18"/>
                <w:szCs w:val="18"/>
              </w:rPr>
              <w:t>Claims on International organizations</w:t>
            </w:r>
          </w:p>
        </w:tc>
        <w:tc>
          <w:tcPr>
            <w:tcW w:w="1555" w:type="dxa"/>
            <w:tcBorders>
              <w:top w:val="nil"/>
              <w:left w:val="nil"/>
              <w:bottom w:val="single" w:sz="4" w:space="0" w:color="auto"/>
              <w:right w:val="single" w:sz="4" w:space="0" w:color="auto"/>
            </w:tcBorders>
            <w:noWrap/>
            <w:vAlign w:val="center"/>
          </w:tcPr>
          <w:p w14:paraId="23C60364" w14:textId="38A05F5D" w:rsidR="005C4F08" w:rsidRPr="00DE68A1" w:rsidRDefault="005C4F08" w:rsidP="005C4F08">
            <w:pPr>
              <w:rPr>
                <w:rFonts w:asciiTheme="minorHAnsi" w:hAnsiTheme="minorHAnsi" w:cstheme="minorHAnsi"/>
                <w:color w:val="000000"/>
                <w:sz w:val="18"/>
                <w:szCs w:val="18"/>
              </w:rPr>
            </w:pPr>
            <w:r w:rsidRPr="007D5102">
              <w:rPr>
                <w:rFonts w:asciiTheme="minorHAnsi" w:eastAsiaTheme="minorEastAsia" w:hAnsiTheme="minorHAnsi" w:cstheme="minorHAnsi"/>
                <w:bCs/>
                <w:color w:val="000000"/>
                <w:sz w:val="18"/>
                <w:szCs w:val="18"/>
              </w:rPr>
              <w:t>0</w:t>
            </w:r>
          </w:p>
        </w:tc>
        <w:tc>
          <w:tcPr>
            <w:tcW w:w="1565" w:type="dxa"/>
            <w:tcBorders>
              <w:top w:val="nil"/>
              <w:left w:val="nil"/>
              <w:bottom w:val="single" w:sz="4" w:space="0" w:color="auto"/>
              <w:right w:val="single" w:sz="4" w:space="0" w:color="auto"/>
            </w:tcBorders>
            <w:noWrap/>
            <w:vAlign w:val="center"/>
          </w:tcPr>
          <w:p w14:paraId="7E7CCB72" w14:textId="785C7430" w:rsidR="005C4F08" w:rsidRPr="00DE68A1" w:rsidRDefault="005C4F08" w:rsidP="005C4F08">
            <w:pPr>
              <w:rPr>
                <w:rFonts w:asciiTheme="minorHAnsi" w:hAnsiTheme="minorHAnsi" w:cstheme="minorHAnsi"/>
                <w:color w:val="000000"/>
                <w:sz w:val="18"/>
                <w:szCs w:val="18"/>
              </w:rPr>
            </w:pPr>
            <w:r w:rsidRPr="007D5102">
              <w:rPr>
                <w:rFonts w:asciiTheme="minorHAnsi" w:eastAsiaTheme="minorEastAsia" w:hAnsiTheme="minorHAnsi" w:cstheme="minorHAnsi"/>
                <w:bCs/>
                <w:color w:val="000000"/>
                <w:sz w:val="18"/>
                <w:szCs w:val="18"/>
              </w:rPr>
              <w:t>0</w:t>
            </w:r>
          </w:p>
        </w:tc>
        <w:tc>
          <w:tcPr>
            <w:tcW w:w="1890" w:type="dxa"/>
            <w:tcBorders>
              <w:top w:val="nil"/>
              <w:left w:val="nil"/>
              <w:bottom w:val="single" w:sz="4" w:space="0" w:color="auto"/>
              <w:right w:val="single" w:sz="8" w:space="0" w:color="auto"/>
            </w:tcBorders>
            <w:noWrap/>
            <w:vAlign w:val="center"/>
            <w:hideMark/>
          </w:tcPr>
          <w:p w14:paraId="1495D67E" w14:textId="526096F3" w:rsidR="005C4F08" w:rsidRPr="00DE68A1" w:rsidRDefault="005C4F08" w:rsidP="005C4F08">
            <w:pPr>
              <w:rPr>
                <w:rFonts w:asciiTheme="minorHAnsi" w:hAnsiTheme="minorHAnsi" w:cstheme="minorHAnsi"/>
                <w:color w:val="000000"/>
                <w:sz w:val="18"/>
                <w:szCs w:val="18"/>
              </w:rPr>
            </w:pPr>
            <w:r w:rsidRPr="007D5102">
              <w:rPr>
                <w:rFonts w:asciiTheme="minorHAnsi" w:eastAsiaTheme="minorEastAsia" w:hAnsiTheme="minorHAnsi" w:cstheme="minorHAnsi"/>
                <w:bCs/>
                <w:color w:val="000000"/>
                <w:sz w:val="18"/>
                <w:szCs w:val="18"/>
              </w:rPr>
              <w:t>0</w:t>
            </w:r>
          </w:p>
        </w:tc>
      </w:tr>
      <w:tr w:rsidR="005C4F08" w:rsidRPr="00DE68A1" w14:paraId="4E51EF89" w14:textId="77777777" w:rsidTr="00A35EFC">
        <w:trPr>
          <w:trHeight w:val="300"/>
          <w:jc w:val="center"/>
        </w:trPr>
        <w:tc>
          <w:tcPr>
            <w:tcW w:w="3220" w:type="dxa"/>
            <w:tcBorders>
              <w:top w:val="nil"/>
              <w:left w:val="single" w:sz="8" w:space="0" w:color="auto"/>
              <w:bottom w:val="single" w:sz="4" w:space="0" w:color="auto"/>
              <w:right w:val="single" w:sz="4" w:space="0" w:color="auto"/>
            </w:tcBorders>
            <w:noWrap/>
            <w:vAlign w:val="bottom"/>
            <w:hideMark/>
          </w:tcPr>
          <w:p w14:paraId="1A337A33" w14:textId="13050526" w:rsidR="005C4F08" w:rsidRPr="00DE68A1" w:rsidRDefault="005C4F08" w:rsidP="005C4F08">
            <w:pPr>
              <w:pStyle w:val="BodyText"/>
              <w:jc w:val="left"/>
              <w:rPr>
                <w:rFonts w:asciiTheme="minorHAnsi" w:hAnsiTheme="minorHAnsi" w:cstheme="minorHAnsi"/>
                <w:sz w:val="18"/>
                <w:szCs w:val="18"/>
              </w:rPr>
            </w:pPr>
            <w:r w:rsidRPr="00DE68A1">
              <w:rPr>
                <w:rFonts w:asciiTheme="minorHAnsi" w:hAnsiTheme="minorHAnsi" w:cstheme="minorHAnsi"/>
                <w:color w:val="000000"/>
                <w:sz w:val="18"/>
                <w:szCs w:val="18"/>
              </w:rPr>
              <w:t>Claims on PSEs</w:t>
            </w:r>
          </w:p>
        </w:tc>
        <w:tc>
          <w:tcPr>
            <w:tcW w:w="1555" w:type="dxa"/>
            <w:tcBorders>
              <w:top w:val="nil"/>
              <w:left w:val="nil"/>
              <w:bottom w:val="single" w:sz="4" w:space="0" w:color="auto"/>
              <w:right w:val="single" w:sz="4" w:space="0" w:color="auto"/>
            </w:tcBorders>
            <w:noWrap/>
            <w:vAlign w:val="center"/>
          </w:tcPr>
          <w:p w14:paraId="43E3A7C1" w14:textId="29A3F4BB" w:rsidR="005C4F08" w:rsidRPr="00DE68A1" w:rsidRDefault="005C4F08" w:rsidP="005C4F08">
            <w:pPr>
              <w:rPr>
                <w:rFonts w:asciiTheme="minorHAnsi" w:hAnsiTheme="minorHAnsi" w:cstheme="minorHAnsi"/>
                <w:color w:val="000000"/>
                <w:sz w:val="18"/>
                <w:szCs w:val="18"/>
              </w:rPr>
            </w:pPr>
            <w:r w:rsidRPr="007D5102">
              <w:rPr>
                <w:rFonts w:asciiTheme="minorHAnsi" w:eastAsiaTheme="minorEastAsia" w:hAnsiTheme="minorHAnsi" w:cstheme="minorHAnsi"/>
                <w:bCs/>
                <w:color w:val="000000"/>
                <w:sz w:val="18"/>
                <w:szCs w:val="18"/>
              </w:rPr>
              <w:t>0</w:t>
            </w:r>
          </w:p>
        </w:tc>
        <w:tc>
          <w:tcPr>
            <w:tcW w:w="1565" w:type="dxa"/>
            <w:tcBorders>
              <w:top w:val="nil"/>
              <w:left w:val="nil"/>
              <w:bottom w:val="single" w:sz="4" w:space="0" w:color="auto"/>
              <w:right w:val="single" w:sz="4" w:space="0" w:color="auto"/>
            </w:tcBorders>
            <w:noWrap/>
            <w:vAlign w:val="center"/>
          </w:tcPr>
          <w:p w14:paraId="0FA77DEB" w14:textId="3E1C106A" w:rsidR="005C4F08" w:rsidRPr="00DE68A1" w:rsidRDefault="005C4F08" w:rsidP="005C4F08">
            <w:pPr>
              <w:rPr>
                <w:rFonts w:asciiTheme="minorHAnsi" w:hAnsiTheme="minorHAnsi" w:cstheme="minorHAnsi"/>
                <w:color w:val="000000"/>
                <w:sz w:val="18"/>
                <w:szCs w:val="18"/>
              </w:rPr>
            </w:pPr>
            <w:r w:rsidRPr="007D5102">
              <w:rPr>
                <w:rFonts w:asciiTheme="minorHAnsi" w:eastAsiaTheme="minorEastAsia" w:hAnsiTheme="minorHAnsi" w:cstheme="minorHAnsi"/>
                <w:bCs/>
                <w:color w:val="000000"/>
                <w:sz w:val="18"/>
                <w:szCs w:val="18"/>
              </w:rPr>
              <w:t>0</w:t>
            </w:r>
          </w:p>
        </w:tc>
        <w:tc>
          <w:tcPr>
            <w:tcW w:w="1890" w:type="dxa"/>
            <w:tcBorders>
              <w:top w:val="nil"/>
              <w:left w:val="nil"/>
              <w:bottom w:val="single" w:sz="4" w:space="0" w:color="auto"/>
              <w:right w:val="single" w:sz="8" w:space="0" w:color="auto"/>
            </w:tcBorders>
            <w:noWrap/>
            <w:vAlign w:val="center"/>
            <w:hideMark/>
          </w:tcPr>
          <w:p w14:paraId="27965BF1" w14:textId="35B94702" w:rsidR="005C4F08" w:rsidRPr="00DE68A1" w:rsidRDefault="005C4F08" w:rsidP="005C4F08">
            <w:pPr>
              <w:rPr>
                <w:rFonts w:asciiTheme="minorHAnsi" w:hAnsiTheme="minorHAnsi" w:cstheme="minorHAnsi"/>
                <w:color w:val="000000"/>
                <w:sz w:val="18"/>
                <w:szCs w:val="18"/>
              </w:rPr>
            </w:pPr>
            <w:r w:rsidRPr="007D5102">
              <w:rPr>
                <w:rFonts w:asciiTheme="minorHAnsi" w:eastAsiaTheme="minorEastAsia" w:hAnsiTheme="minorHAnsi" w:cstheme="minorHAnsi"/>
                <w:bCs/>
                <w:color w:val="000000"/>
                <w:sz w:val="18"/>
                <w:szCs w:val="18"/>
              </w:rPr>
              <w:t>0</w:t>
            </w:r>
          </w:p>
        </w:tc>
      </w:tr>
      <w:tr w:rsidR="005C4F08" w:rsidRPr="00DE68A1" w14:paraId="161F9945" w14:textId="77777777" w:rsidTr="00A35EFC">
        <w:trPr>
          <w:trHeight w:val="300"/>
          <w:jc w:val="center"/>
        </w:trPr>
        <w:tc>
          <w:tcPr>
            <w:tcW w:w="3220" w:type="dxa"/>
            <w:tcBorders>
              <w:top w:val="nil"/>
              <w:left w:val="single" w:sz="8" w:space="0" w:color="auto"/>
              <w:bottom w:val="single" w:sz="4" w:space="0" w:color="auto"/>
              <w:right w:val="single" w:sz="4" w:space="0" w:color="auto"/>
            </w:tcBorders>
            <w:noWrap/>
            <w:vAlign w:val="bottom"/>
            <w:hideMark/>
          </w:tcPr>
          <w:p w14:paraId="385F4372" w14:textId="489741FA" w:rsidR="005C4F08" w:rsidRPr="00DE68A1" w:rsidRDefault="005C4F08" w:rsidP="005C4F08">
            <w:pPr>
              <w:pStyle w:val="BodyText"/>
              <w:jc w:val="left"/>
              <w:rPr>
                <w:rFonts w:asciiTheme="minorHAnsi" w:hAnsiTheme="minorHAnsi" w:cstheme="minorHAnsi"/>
                <w:sz w:val="18"/>
                <w:szCs w:val="18"/>
              </w:rPr>
            </w:pPr>
            <w:r w:rsidRPr="00DE68A1">
              <w:rPr>
                <w:rFonts w:asciiTheme="minorHAnsi" w:hAnsiTheme="minorHAnsi" w:cstheme="minorHAnsi"/>
                <w:color w:val="000000"/>
                <w:sz w:val="18"/>
                <w:szCs w:val="18"/>
              </w:rPr>
              <w:t>Claims on MDBs</w:t>
            </w:r>
          </w:p>
        </w:tc>
        <w:tc>
          <w:tcPr>
            <w:tcW w:w="1555" w:type="dxa"/>
            <w:tcBorders>
              <w:top w:val="nil"/>
              <w:left w:val="nil"/>
              <w:bottom w:val="single" w:sz="4" w:space="0" w:color="auto"/>
              <w:right w:val="single" w:sz="4" w:space="0" w:color="auto"/>
            </w:tcBorders>
            <w:noWrap/>
            <w:vAlign w:val="center"/>
          </w:tcPr>
          <w:p w14:paraId="39AB3CBD" w14:textId="51752630" w:rsidR="005C4F08" w:rsidRPr="00DE68A1" w:rsidRDefault="005C4F08" w:rsidP="005C4F08">
            <w:pPr>
              <w:rPr>
                <w:rFonts w:asciiTheme="minorHAnsi" w:hAnsiTheme="minorHAnsi" w:cstheme="minorHAnsi"/>
                <w:color w:val="000000"/>
                <w:sz w:val="18"/>
                <w:szCs w:val="18"/>
              </w:rPr>
            </w:pPr>
            <w:r w:rsidRPr="007D5102">
              <w:rPr>
                <w:rFonts w:asciiTheme="minorHAnsi" w:eastAsiaTheme="minorEastAsia" w:hAnsiTheme="minorHAnsi" w:cstheme="minorHAnsi"/>
                <w:bCs/>
                <w:color w:val="000000"/>
                <w:sz w:val="18"/>
                <w:szCs w:val="18"/>
              </w:rPr>
              <w:t>0</w:t>
            </w:r>
          </w:p>
        </w:tc>
        <w:tc>
          <w:tcPr>
            <w:tcW w:w="1565" w:type="dxa"/>
            <w:tcBorders>
              <w:top w:val="nil"/>
              <w:left w:val="nil"/>
              <w:bottom w:val="single" w:sz="4" w:space="0" w:color="auto"/>
              <w:right w:val="single" w:sz="4" w:space="0" w:color="auto"/>
            </w:tcBorders>
            <w:noWrap/>
            <w:vAlign w:val="center"/>
          </w:tcPr>
          <w:p w14:paraId="7945EDB5" w14:textId="21B301E1" w:rsidR="005C4F08" w:rsidRPr="00DE68A1" w:rsidRDefault="005C4F08" w:rsidP="005C4F08">
            <w:pPr>
              <w:rPr>
                <w:rFonts w:asciiTheme="minorHAnsi" w:hAnsiTheme="minorHAnsi" w:cstheme="minorHAnsi"/>
                <w:color w:val="000000"/>
                <w:sz w:val="18"/>
                <w:szCs w:val="18"/>
              </w:rPr>
            </w:pPr>
            <w:r w:rsidRPr="007D5102">
              <w:rPr>
                <w:rFonts w:asciiTheme="minorHAnsi" w:eastAsiaTheme="minorEastAsia" w:hAnsiTheme="minorHAnsi" w:cstheme="minorHAnsi"/>
                <w:bCs/>
                <w:color w:val="000000"/>
                <w:sz w:val="18"/>
                <w:szCs w:val="18"/>
              </w:rPr>
              <w:t>0</w:t>
            </w:r>
          </w:p>
        </w:tc>
        <w:tc>
          <w:tcPr>
            <w:tcW w:w="1890" w:type="dxa"/>
            <w:tcBorders>
              <w:top w:val="nil"/>
              <w:left w:val="nil"/>
              <w:bottom w:val="single" w:sz="4" w:space="0" w:color="auto"/>
              <w:right w:val="single" w:sz="8" w:space="0" w:color="auto"/>
            </w:tcBorders>
            <w:noWrap/>
            <w:vAlign w:val="center"/>
            <w:hideMark/>
          </w:tcPr>
          <w:p w14:paraId="0ABD2ACC" w14:textId="50439DF2" w:rsidR="005C4F08" w:rsidRPr="00DE68A1" w:rsidRDefault="005C4F08" w:rsidP="005C4F08">
            <w:pPr>
              <w:rPr>
                <w:rFonts w:asciiTheme="minorHAnsi" w:hAnsiTheme="minorHAnsi" w:cstheme="minorHAnsi"/>
                <w:color w:val="000000"/>
                <w:sz w:val="18"/>
                <w:szCs w:val="18"/>
              </w:rPr>
            </w:pPr>
            <w:r w:rsidRPr="007D5102">
              <w:rPr>
                <w:rFonts w:asciiTheme="minorHAnsi" w:eastAsiaTheme="minorEastAsia" w:hAnsiTheme="minorHAnsi" w:cstheme="minorHAnsi"/>
                <w:bCs/>
                <w:color w:val="000000"/>
                <w:sz w:val="18"/>
                <w:szCs w:val="18"/>
              </w:rPr>
              <w:t>0</w:t>
            </w:r>
          </w:p>
        </w:tc>
      </w:tr>
      <w:tr w:rsidR="005C4F08" w:rsidRPr="00DE68A1" w14:paraId="7C5850CA" w14:textId="77777777" w:rsidTr="00A35EFC">
        <w:trPr>
          <w:trHeight w:val="300"/>
          <w:jc w:val="center"/>
        </w:trPr>
        <w:tc>
          <w:tcPr>
            <w:tcW w:w="3220" w:type="dxa"/>
            <w:tcBorders>
              <w:top w:val="nil"/>
              <w:left w:val="single" w:sz="8" w:space="0" w:color="auto"/>
              <w:bottom w:val="single" w:sz="4" w:space="0" w:color="auto"/>
              <w:right w:val="single" w:sz="4" w:space="0" w:color="auto"/>
            </w:tcBorders>
            <w:noWrap/>
            <w:vAlign w:val="bottom"/>
            <w:hideMark/>
          </w:tcPr>
          <w:p w14:paraId="5547B8A4" w14:textId="747CD913" w:rsidR="005C4F08" w:rsidRPr="00DE68A1" w:rsidRDefault="005C4F08" w:rsidP="005C4F08">
            <w:pPr>
              <w:pStyle w:val="BodyText"/>
              <w:jc w:val="left"/>
              <w:rPr>
                <w:rFonts w:asciiTheme="minorHAnsi" w:hAnsiTheme="minorHAnsi" w:cstheme="minorHAnsi"/>
                <w:sz w:val="18"/>
                <w:szCs w:val="18"/>
              </w:rPr>
            </w:pPr>
            <w:r w:rsidRPr="00DE68A1">
              <w:rPr>
                <w:rFonts w:asciiTheme="minorHAnsi" w:hAnsiTheme="minorHAnsi" w:cstheme="minorHAnsi"/>
                <w:color w:val="000000"/>
                <w:sz w:val="18"/>
                <w:szCs w:val="18"/>
              </w:rPr>
              <w:t>Claims on Banks</w:t>
            </w:r>
          </w:p>
        </w:tc>
        <w:tc>
          <w:tcPr>
            <w:tcW w:w="1555" w:type="dxa"/>
            <w:tcBorders>
              <w:top w:val="nil"/>
              <w:left w:val="nil"/>
              <w:bottom w:val="single" w:sz="4" w:space="0" w:color="auto"/>
              <w:right w:val="single" w:sz="4" w:space="0" w:color="auto"/>
            </w:tcBorders>
            <w:noWrap/>
            <w:vAlign w:val="center"/>
          </w:tcPr>
          <w:p w14:paraId="3B835DD8" w14:textId="3A79E2E4"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307,074</w:t>
            </w:r>
          </w:p>
        </w:tc>
        <w:tc>
          <w:tcPr>
            <w:tcW w:w="1565" w:type="dxa"/>
            <w:tcBorders>
              <w:top w:val="nil"/>
              <w:left w:val="nil"/>
              <w:bottom w:val="single" w:sz="4" w:space="0" w:color="auto"/>
              <w:right w:val="single" w:sz="4" w:space="0" w:color="auto"/>
            </w:tcBorders>
            <w:noWrap/>
            <w:vAlign w:val="center"/>
          </w:tcPr>
          <w:p w14:paraId="39B40162" w14:textId="3FBA2280"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307,074</w:t>
            </w:r>
          </w:p>
        </w:tc>
        <w:tc>
          <w:tcPr>
            <w:tcW w:w="1890" w:type="dxa"/>
            <w:tcBorders>
              <w:top w:val="nil"/>
              <w:left w:val="nil"/>
              <w:bottom w:val="single" w:sz="4" w:space="0" w:color="auto"/>
              <w:right w:val="single" w:sz="8" w:space="0" w:color="auto"/>
            </w:tcBorders>
            <w:noWrap/>
            <w:vAlign w:val="center"/>
          </w:tcPr>
          <w:p w14:paraId="49A5E53E" w14:textId="5B8A920C"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61,448</w:t>
            </w:r>
          </w:p>
        </w:tc>
      </w:tr>
      <w:tr w:rsidR="005C4F08" w:rsidRPr="00DE68A1" w14:paraId="3EF7A703" w14:textId="77777777" w:rsidTr="00A35EFC">
        <w:trPr>
          <w:trHeight w:val="300"/>
          <w:jc w:val="center"/>
        </w:trPr>
        <w:tc>
          <w:tcPr>
            <w:tcW w:w="3220" w:type="dxa"/>
            <w:tcBorders>
              <w:top w:val="nil"/>
              <w:left w:val="single" w:sz="8" w:space="0" w:color="auto"/>
              <w:bottom w:val="single" w:sz="4" w:space="0" w:color="auto"/>
              <w:right w:val="single" w:sz="4" w:space="0" w:color="auto"/>
            </w:tcBorders>
            <w:noWrap/>
            <w:vAlign w:val="bottom"/>
            <w:hideMark/>
          </w:tcPr>
          <w:p w14:paraId="63204A58" w14:textId="7BD899FB" w:rsidR="005C4F08" w:rsidRPr="00DE68A1" w:rsidRDefault="005C4F08" w:rsidP="005C4F08">
            <w:pPr>
              <w:pStyle w:val="BodyText"/>
              <w:jc w:val="left"/>
              <w:rPr>
                <w:rFonts w:asciiTheme="minorHAnsi" w:hAnsiTheme="minorHAnsi" w:cstheme="minorHAnsi"/>
                <w:sz w:val="18"/>
                <w:szCs w:val="18"/>
              </w:rPr>
            </w:pPr>
            <w:r w:rsidRPr="00DE68A1">
              <w:rPr>
                <w:rFonts w:asciiTheme="minorHAnsi" w:hAnsiTheme="minorHAnsi" w:cstheme="minorHAnsi"/>
                <w:color w:val="000000"/>
                <w:sz w:val="18"/>
                <w:szCs w:val="18"/>
              </w:rPr>
              <w:t>Claims on Corporates</w:t>
            </w:r>
          </w:p>
        </w:tc>
        <w:tc>
          <w:tcPr>
            <w:tcW w:w="1555" w:type="dxa"/>
            <w:tcBorders>
              <w:top w:val="nil"/>
              <w:left w:val="nil"/>
              <w:bottom w:val="single" w:sz="4" w:space="0" w:color="auto"/>
              <w:right w:val="single" w:sz="4" w:space="0" w:color="auto"/>
            </w:tcBorders>
            <w:noWrap/>
            <w:vAlign w:val="center"/>
          </w:tcPr>
          <w:p w14:paraId="68D100A3" w14:textId="7A0BD008"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372,581</w:t>
            </w:r>
          </w:p>
        </w:tc>
        <w:tc>
          <w:tcPr>
            <w:tcW w:w="1565" w:type="dxa"/>
            <w:tcBorders>
              <w:top w:val="nil"/>
              <w:left w:val="nil"/>
              <w:bottom w:val="single" w:sz="4" w:space="0" w:color="auto"/>
              <w:right w:val="single" w:sz="4" w:space="0" w:color="auto"/>
            </w:tcBorders>
            <w:noWrap/>
            <w:vAlign w:val="center"/>
          </w:tcPr>
          <w:p w14:paraId="351251EB" w14:textId="083FBFE3"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372,347</w:t>
            </w:r>
          </w:p>
        </w:tc>
        <w:tc>
          <w:tcPr>
            <w:tcW w:w="1890" w:type="dxa"/>
            <w:tcBorders>
              <w:top w:val="nil"/>
              <w:left w:val="nil"/>
              <w:bottom w:val="single" w:sz="4" w:space="0" w:color="auto"/>
              <w:right w:val="single" w:sz="8" w:space="0" w:color="auto"/>
            </w:tcBorders>
            <w:noWrap/>
            <w:vAlign w:val="center"/>
          </w:tcPr>
          <w:p w14:paraId="1ADD8302" w14:textId="3B251DB9"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372,347</w:t>
            </w:r>
          </w:p>
        </w:tc>
      </w:tr>
      <w:tr w:rsidR="005C4F08" w:rsidRPr="00DE68A1" w14:paraId="213E4568" w14:textId="77777777" w:rsidTr="00A35EFC">
        <w:trPr>
          <w:trHeight w:val="300"/>
          <w:jc w:val="center"/>
        </w:trPr>
        <w:tc>
          <w:tcPr>
            <w:tcW w:w="3220" w:type="dxa"/>
            <w:tcBorders>
              <w:top w:val="nil"/>
              <w:left w:val="single" w:sz="8" w:space="0" w:color="auto"/>
              <w:bottom w:val="single" w:sz="4" w:space="0" w:color="auto"/>
              <w:right w:val="single" w:sz="4" w:space="0" w:color="auto"/>
            </w:tcBorders>
            <w:noWrap/>
            <w:vAlign w:val="bottom"/>
            <w:hideMark/>
          </w:tcPr>
          <w:p w14:paraId="3DCEFC46" w14:textId="16EB77C2" w:rsidR="005C4F08" w:rsidRPr="00DE68A1" w:rsidRDefault="005C4F08" w:rsidP="005C4F08">
            <w:pPr>
              <w:pStyle w:val="BodyText"/>
              <w:jc w:val="left"/>
              <w:rPr>
                <w:rFonts w:asciiTheme="minorHAnsi" w:hAnsiTheme="minorHAnsi" w:cstheme="minorHAnsi"/>
                <w:sz w:val="18"/>
                <w:szCs w:val="18"/>
              </w:rPr>
            </w:pPr>
            <w:r w:rsidRPr="00DE68A1">
              <w:rPr>
                <w:rFonts w:asciiTheme="minorHAnsi" w:hAnsiTheme="minorHAnsi" w:cstheme="minorHAnsi"/>
                <w:color w:val="000000"/>
                <w:sz w:val="18"/>
                <w:szCs w:val="18"/>
              </w:rPr>
              <w:t>Claims on Securitized Assets</w:t>
            </w:r>
          </w:p>
        </w:tc>
        <w:tc>
          <w:tcPr>
            <w:tcW w:w="1555" w:type="dxa"/>
            <w:tcBorders>
              <w:top w:val="nil"/>
              <w:left w:val="nil"/>
              <w:bottom w:val="single" w:sz="4" w:space="0" w:color="auto"/>
              <w:right w:val="single" w:sz="4" w:space="0" w:color="auto"/>
            </w:tcBorders>
            <w:noWrap/>
            <w:vAlign w:val="center"/>
          </w:tcPr>
          <w:p w14:paraId="48B0EFA2" w14:textId="4406F8EC"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0</w:t>
            </w:r>
          </w:p>
        </w:tc>
        <w:tc>
          <w:tcPr>
            <w:tcW w:w="1565" w:type="dxa"/>
            <w:tcBorders>
              <w:top w:val="nil"/>
              <w:left w:val="nil"/>
              <w:bottom w:val="single" w:sz="4" w:space="0" w:color="auto"/>
              <w:right w:val="single" w:sz="4" w:space="0" w:color="auto"/>
            </w:tcBorders>
            <w:noWrap/>
            <w:vAlign w:val="center"/>
          </w:tcPr>
          <w:p w14:paraId="46E5EA66" w14:textId="74386EAB"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0</w:t>
            </w:r>
          </w:p>
        </w:tc>
        <w:tc>
          <w:tcPr>
            <w:tcW w:w="1890" w:type="dxa"/>
            <w:tcBorders>
              <w:top w:val="nil"/>
              <w:left w:val="nil"/>
              <w:bottom w:val="single" w:sz="4" w:space="0" w:color="auto"/>
              <w:right w:val="single" w:sz="8" w:space="0" w:color="auto"/>
            </w:tcBorders>
            <w:noWrap/>
            <w:vAlign w:val="center"/>
          </w:tcPr>
          <w:p w14:paraId="7D5E2F01" w14:textId="748773EE"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0</w:t>
            </w:r>
          </w:p>
        </w:tc>
      </w:tr>
      <w:tr w:rsidR="005C4F08" w:rsidRPr="00DE68A1" w14:paraId="7D89DED3" w14:textId="77777777" w:rsidTr="00A35EFC">
        <w:trPr>
          <w:trHeight w:val="300"/>
          <w:jc w:val="center"/>
        </w:trPr>
        <w:tc>
          <w:tcPr>
            <w:tcW w:w="3220" w:type="dxa"/>
            <w:tcBorders>
              <w:top w:val="nil"/>
              <w:left w:val="single" w:sz="8" w:space="0" w:color="auto"/>
              <w:bottom w:val="single" w:sz="4" w:space="0" w:color="auto"/>
              <w:right w:val="single" w:sz="4" w:space="0" w:color="auto"/>
            </w:tcBorders>
            <w:noWrap/>
            <w:vAlign w:val="bottom"/>
            <w:hideMark/>
          </w:tcPr>
          <w:p w14:paraId="6CF96CFD" w14:textId="56AE26A8" w:rsidR="005C4F08" w:rsidRPr="00DE68A1" w:rsidRDefault="005C4F08" w:rsidP="005C4F08">
            <w:pPr>
              <w:pStyle w:val="BodyText"/>
              <w:jc w:val="left"/>
              <w:rPr>
                <w:rFonts w:asciiTheme="minorHAnsi" w:hAnsiTheme="minorHAnsi" w:cstheme="minorHAnsi"/>
                <w:sz w:val="18"/>
                <w:szCs w:val="18"/>
              </w:rPr>
            </w:pPr>
            <w:r w:rsidRPr="00DE68A1">
              <w:rPr>
                <w:rFonts w:asciiTheme="minorHAnsi" w:hAnsiTheme="minorHAnsi" w:cstheme="minorHAnsi"/>
                <w:color w:val="000000"/>
                <w:sz w:val="18"/>
                <w:szCs w:val="18"/>
              </w:rPr>
              <w:t>Credit Derivative claims</w:t>
            </w:r>
          </w:p>
        </w:tc>
        <w:tc>
          <w:tcPr>
            <w:tcW w:w="1555" w:type="dxa"/>
            <w:tcBorders>
              <w:top w:val="nil"/>
              <w:left w:val="nil"/>
              <w:bottom w:val="single" w:sz="4" w:space="0" w:color="auto"/>
              <w:right w:val="single" w:sz="4" w:space="0" w:color="auto"/>
            </w:tcBorders>
            <w:noWrap/>
            <w:vAlign w:val="center"/>
          </w:tcPr>
          <w:p w14:paraId="37D70751" w14:textId="3AE8A5FF"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0</w:t>
            </w:r>
          </w:p>
        </w:tc>
        <w:tc>
          <w:tcPr>
            <w:tcW w:w="1565" w:type="dxa"/>
            <w:tcBorders>
              <w:top w:val="nil"/>
              <w:left w:val="nil"/>
              <w:bottom w:val="single" w:sz="4" w:space="0" w:color="auto"/>
              <w:right w:val="single" w:sz="4" w:space="0" w:color="auto"/>
            </w:tcBorders>
            <w:noWrap/>
            <w:vAlign w:val="center"/>
          </w:tcPr>
          <w:p w14:paraId="4F408D5C" w14:textId="3051754C"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0</w:t>
            </w:r>
          </w:p>
        </w:tc>
        <w:tc>
          <w:tcPr>
            <w:tcW w:w="1890" w:type="dxa"/>
            <w:tcBorders>
              <w:top w:val="nil"/>
              <w:left w:val="nil"/>
              <w:bottom w:val="single" w:sz="4" w:space="0" w:color="auto"/>
              <w:right w:val="single" w:sz="8" w:space="0" w:color="auto"/>
            </w:tcBorders>
            <w:noWrap/>
            <w:vAlign w:val="center"/>
          </w:tcPr>
          <w:p w14:paraId="7A7BE194" w14:textId="7F1FA636"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0</w:t>
            </w:r>
          </w:p>
        </w:tc>
      </w:tr>
      <w:tr w:rsidR="005C4F08" w:rsidRPr="00DE68A1" w14:paraId="445F6D54" w14:textId="77777777" w:rsidTr="00A35EFC">
        <w:trPr>
          <w:trHeight w:val="300"/>
          <w:jc w:val="center"/>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2D3652CB" w14:textId="300AFABD" w:rsidR="005C4F08" w:rsidRPr="00DE68A1" w:rsidRDefault="005C4F08" w:rsidP="005C4F08">
            <w:pPr>
              <w:pStyle w:val="BodyText"/>
              <w:jc w:val="left"/>
              <w:rPr>
                <w:rFonts w:asciiTheme="minorHAnsi" w:hAnsiTheme="minorHAnsi" w:cstheme="minorHAnsi"/>
                <w:sz w:val="18"/>
                <w:szCs w:val="18"/>
              </w:rPr>
            </w:pPr>
            <w:r w:rsidRPr="00DE68A1">
              <w:rPr>
                <w:rFonts w:asciiTheme="minorHAnsi" w:hAnsiTheme="minorHAnsi" w:cstheme="minorHAnsi"/>
                <w:color w:val="000000"/>
                <w:sz w:val="18"/>
                <w:szCs w:val="18"/>
              </w:rPr>
              <w:t>Regulatory Retail</w:t>
            </w:r>
          </w:p>
        </w:tc>
        <w:tc>
          <w:tcPr>
            <w:tcW w:w="1555" w:type="dxa"/>
            <w:tcBorders>
              <w:top w:val="single" w:sz="4" w:space="0" w:color="auto"/>
              <w:left w:val="nil"/>
              <w:bottom w:val="single" w:sz="4" w:space="0" w:color="auto"/>
              <w:right w:val="single" w:sz="4" w:space="0" w:color="auto"/>
            </w:tcBorders>
            <w:noWrap/>
            <w:vAlign w:val="center"/>
          </w:tcPr>
          <w:p w14:paraId="1812FF41" w14:textId="2E2D5B01"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0</w:t>
            </w:r>
          </w:p>
        </w:tc>
        <w:tc>
          <w:tcPr>
            <w:tcW w:w="1565" w:type="dxa"/>
            <w:tcBorders>
              <w:top w:val="single" w:sz="4" w:space="0" w:color="auto"/>
              <w:left w:val="nil"/>
              <w:bottom w:val="single" w:sz="4" w:space="0" w:color="auto"/>
              <w:right w:val="single" w:sz="4" w:space="0" w:color="auto"/>
            </w:tcBorders>
            <w:noWrap/>
            <w:vAlign w:val="center"/>
          </w:tcPr>
          <w:p w14:paraId="2BD71B5C" w14:textId="66A41DBD"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0</w:t>
            </w:r>
          </w:p>
        </w:tc>
        <w:tc>
          <w:tcPr>
            <w:tcW w:w="1890" w:type="dxa"/>
            <w:tcBorders>
              <w:top w:val="single" w:sz="4" w:space="0" w:color="auto"/>
              <w:left w:val="nil"/>
              <w:bottom w:val="single" w:sz="4" w:space="0" w:color="auto"/>
              <w:right w:val="single" w:sz="4" w:space="0" w:color="auto"/>
            </w:tcBorders>
            <w:noWrap/>
            <w:vAlign w:val="center"/>
          </w:tcPr>
          <w:p w14:paraId="76415B7B" w14:textId="181A7852"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0</w:t>
            </w:r>
          </w:p>
        </w:tc>
      </w:tr>
      <w:tr w:rsidR="005C4F08" w:rsidRPr="00DE68A1" w14:paraId="0A7A2093" w14:textId="77777777" w:rsidTr="00A35EFC">
        <w:trPr>
          <w:trHeight w:val="300"/>
          <w:jc w:val="center"/>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1BF1FBDF" w14:textId="32DCAA57" w:rsidR="005C4F08" w:rsidRPr="00DE68A1" w:rsidRDefault="005C4F08" w:rsidP="005C4F08">
            <w:pPr>
              <w:pStyle w:val="BodyText"/>
              <w:jc w:val="left"/>
              <w:rPr>
                <w:rFonts w:asciiTheme="minorHAnsi" w:hAnsiTheme="minorHAnsi" w:cstheme="minorHAnsi"/>
                <w:sz w:val="18"/>
                <w:szCs w:val="18"/>
              </w:rPr>
            </w:pPr>
            <w:r w:rsidRPr="00DE68A1">
              <w:rPr>
                <w:rFonts w:asciiTheme="minorHAnsi" w:hAnsiTheme="minorHAnsi" w:cstheme="minorHAnsi"/>
                <w:color w:val="000000"/>
                <w:sz w:val="18"/>
                <w:szCs w:val="18"/>
              </w:rPr>
              <w:t>Past Due Exposures</w:t>
            </w:r>
          </w:p>
        </w:tc>
        <w:tc>
          <w:tcPr>
            <w:tcW w:w="1555" w:type="dxa"/>
            <w:tcBorders>
              <w:top w:val="single" w:sz="4" w:space="0" w:color="auto"/>
              <w:left w:val="nil"/>
              <w:bottom w:val="single" w:sz="4" w:space="0" w:color="auto"/>
              <w:right w:val="single" w:sz="4" w:space="0" w:color="auto"/>
            </w:tcBorders>
            <w:noWrap/>
            <w:vAlign w:val="center"/>
          </w:tcPr>
          <w:p w14:paraId="2D585103" w14:textId="7BADDCB2"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189</w:t>
            </w:r>
          </w:p>
        </w:tc>
        <w:tc>
          <w:tcPr>
            <w:tcW w:w="1565" w:type="dxa"/>
            <w:tcBorders>
              <w:top w:val="single" w:sz="4" w:space="0" w:color="auto"/>
              <w:left w:val="nil"/>
              <w:bottom w:val="single" w:sz="4" w:space="0" w:color="auto"/>
              <w:right w:val="single" w:sz="4" w:space="0" w:color="auto"/>
            </w:tcBorders>
            <w:noWrap/>
            <w:vAlign w:val="center"/>
          </w:tcPr>
          <w:p w14:paraId="3028A001" w14:textId="798A598A"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189</w:t>
            </w:r>
          </w:p>
        </w:tc>
        <w:tc>
          <w:tcPr>
            <w:tcW w:w="1890" w:type="dxa"/>
            <w:tcBorders>
              <w:top w:val="single" w:sz="4" w:space="0" w:color="auto"/>
              <w:left w:val="nil"/>
              <w:bottom w:val="single" w:sz="4" w:space="0" w:color="auto"/>
              <w:right w:val="single" w:sz="4" w:space="0" w:color="auto"/>
            </w:tcBorders>
            <w:noWrap/>
            <w:vAlign w:val="center"/>
          </w:tcPr>
          <w:p w14:paraId="218F1DE2" w14:textId="2A410A8C" w:rsidR="005C4F08" w:rsidRPr="00DE68A1" w:rsidRDefault="005C4F08" w:rsidP="005C4F08">
            <w:pPr>
              <w:rPr>
                <w:rFonts w:asciiTheme="minorHAnsi" w:hAnsiTheme="minorHAnsi" w:cstheme="minorHAnsi"/>
                <w:color w:val="000000"/>
                <w:sz w:val="18"/>
                <w:szCs w:val="18"/>
              </w:rPr>
            </w:pPr>
            <w:r w:rsidRPr="00F7706F">
              <w:rPr>
                <w:rFonts w:asciiTheme="minorHAnsi" w:eastAsiaTheme="minorEastAsia" w:hAnsiTheme="minorHAnsi" w:cstheme="minorHAnsi"/>
                <w:bCs/>
                <w:color w:val="000000"/>
                <w:sz w:val="18"/>
                <w:szCs w:val="18"/>
              </w:rPr>
              <w:t>189</w:t>
            </w:r>
          </w:p>
        </w:tc>
      </w:tr>
      <w:tr w:rsidR="005C4F08" w:rsidRPr="00DE68A1" w14:paraId="0078288A" w14:textId="77777777" w:rsidTr="00A35EFC">
        <w:trPr>
          <w:trHeight w:val="315"/>
          <w:jc w:val="center"/>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0A406718" w14:textId="1D311BF7" w:rsidR="005C4F08" w:rsidRPr="00DE68A1" w:rsidRDefault="005C4F08" w:rsidP="005C4F08">
            <w:pPr>
              <w:pStyle w:val="BodyText"/>
              <w:jc w:val="left"/>
              <w:rPr>
                <w:rFonts w:asciiTheme="minorHAnsi" w:hAnsiTheme="minorHAnsi" w:cstheme="minorHAnsi"/>
                <w:b/>
                <w:sz w:val="18"/>
                <w:szCs w:val="18"/>
              </w:rPr>
            </w:pPr>
            <w:r w:rsidRPr="00DE68A1">
              <w:rPr>
                <w:rFonts w:asciiTheme="minorHAnsi" w:hAnsiTheme="minorHAnsi" w:cstheme="minorHAnsi"/>
                <w:color w:val="000000"/>
                <w:sz w:val="18"/>
                <w:szCs w:val="18"/>
              </w:rPr>
              <w:t>Other Assets</w:t>
            </w:r>
          </w:p>
        </w:tc>
        <w:tc>
          <w:tcPr>
            <w:tcW w:w="1555" w:type="dxa"/>
            <w:tcBorders>
              <w:top w:val="single" w:sz="4" w:space="0" w:color="auto"/>
              <w:left w:val="nil"/>
              <w:bottom w:val="single" w:sz="4" w:space="0" w:color="auto"/>
              <w:right w:val="single" w:sz="4" w:space="0" w:color="auto"/>
            </w:tcBorders>
            <w:noWrap/>
            <w:vAlign w:val="center"/>
          </w:tcPr>
          <w:p w14:paraId="63BFC654" w14:textId="740DD0D9" w:rsidR="005C4F08" w:rsidRPr="00DE68A1" w:rsidRDefault="005C4F08" w:rsidP="005C4F08">
            <w:pPr>
              <w:rPr>
                <w:rFonts w:asciiTheme="minorHAnsi" w:hAnsiTheme="minorHAnsi" w:cstheme="minorHAnsi"/>
                <w:b/>
                <w:color w:val="000000"/>
                <w:sz w:val="18"/>
                <w:szCs w:val="18"/>
              </w:rPr>
            </w:pPr>
            <w:r w:rsidRPr="00F7706F">
              <w:rPr>
                <w:rFonts w:asciiTheme="minorHAnsi" w:eastAsiaTheme="minorEastAsia" w:hAnsiTheme="minorHAnsi" w:cstheme="minorHAnsi"/>
                <w:bCs/>
                <w:color w:val="000000"/>
                <w:sz w:val="18"/>
                <w:szCs w:val="18"/>
              </w:rPr>
              <w:t>190,951</w:t>
            </w:r>
          </w:p>
        </w:tc>
        <w:tc>
          <w:tcPr>
            <w:tcW w:w="1565" w:type="dxa"/>
            <w:tcBorders>
              <w:top w:val="single" w:sz="4" w:space="0" w:color="auto"/>
              <w:left w:val="nil"/>
              <w:bottom w:val="single" w:sz="4" w:space="0" w:color="auto"/>
              <w:right w:val="single" w:sz="4" w:space="0" w:color="auto"/>
            </w:tcBorders>
            <w:noWrap/>
            <w:vAlign w:val="center"/>
          </w:tcPr>
          <w:p w14:paraId="4F2870B6" w14:textId="6C7C4310" w:rsidR="005C4F08" w:rsidRPr="00DE68A1" w:rsidRDefault="005C4F08" w:rsidP="005C4F08">
            <w:pPr>
              <w:rPr>
                <w:rFonts w:asciiTheme="minorHAnsi" w:hAnsiTheme="minorHAnsi" w:cstheme="minorHAnsi"/>
                <w:b/>
                <w:color w:val="000000"/>
                <w:sz w:val="18"/>
                <w:szCs w:val="18"/>
              </w:rPr>
            </w:pPr>
            <w:r w:rsidRPr="00F7706F">
              <w:rPr>
                <w:rFonts w:asciiTheme="minorHAnsi" w:eastAsiaTheme="minorEastAsia" w:hAnsiTheme="minorHAnsi" w:cstheme="minorHAnsi"/>
                <w:bCs/>
                <w:color w:val="000000"/>
                <w:sz w:val="18"/>
                <w:szCs w:val="18"/>
              </w:rPr>
              <w:t>190,951</w:t>
            </w:r>
          </w:p>
        </w:tc>
        <w:tc>
          <w:tcPr>
            <w:tcW w:w="1890" w:type="dxa"/>
            <w:tcBorders>
              <w:top w:val="single" w:sz="4" w:space="0" w:color="auto"/>
              <w:left w:val="nil"/>
              <w:bottom w:val="single" w:sz="4" w:space="0" w:color="auto"/>
              <w:right w:val="single" w:sz="4" w:space="0" w:color="auto"/>
            </w:tcBorders>
            <w:noWrap/>
            <w:vAlign w:val="center"/>
          </w:tcPr>
          <w:p w14:paraId="5D78DB0B" w14:textId="1FB36CDD" w:rsidR="005C4F08" w:rsidRPr="00DE68A1" w:rsidRDefault="005C4F08" w:rsidP="005C4F08">
            <w:pPr>
              <w:rPr>
                <w:rFonts w:asciiTheme="minorHAnsi" w:hAnsiTheme="minorHAnsi" w:cstheme="minorHAnsi"/>
                <w:b/>
                <w:color w:val="000000"/>
                <w:sz w:val="18"/>
                <w:szCs w:val="18"/>
              </w:rPr>
            </w:pPr>
            <w:r w:rsidRPr="00F7706F">
              <w:rPr>
                <w:rFonts w:asciiTheme="minorHAnsi" w:eastAsiaTheme="minorEastAsia" w:hAnsiTheme="minorHAnsi" w:cstheme="minorHAnsi"/>
                <w:bCs/>
                <w:color w:val="000000"/>
                <w:sz w:val="18"/>
                <w:szCs w:val="18"/>
              </w:rPr>
              <w:t>190,951</w:t>
            </w:r>
          </w:p>
        </w:tc>
      </w:tr>
      <w:tr w:rsidR="003C5549" w:rsidRPr="00DE68A1" w14:paraId="0FDA3CE7" w14:textId="77777777" w:rsidTr="00684173">
        <w:trPr>
          <w:trHeight w:val="315"/>
          <w:jc w:val="center"/>
        </w:trPr>
        <w:tc>
          <w:tcPr>
            <w:tcW w:w="3220" w:type="dxa"/>
            <w:tcBorders>
              <w:top w:val="single" w:sz="4" w:space="0" w:color="auto"/>
              <w:left w:val="single" w:sz="4" w:space="0" w:color="auto"/>
              <w:bottom w:val="single" w:sz="4" w:space="0" w:color="auto"/>
              <w:right w:val="single" w:sz="4" w:space="0" w:color="auto"/>
            </w:tcBorders>
            <w:noWrap/>
            <w:vAlign w:val="bottom"/>
          </w:tcPr>
          <w:p w14:paraId="22B33150" w14:textId="406BF68F" w:rsidR="003C5549" w:rsidRPr="00DE68A1" w:rsidRDefault="003C5549" w:rsidP="003C5549">
            <w:pPr>
              <w:pStyle w:val="BodyText"/>
              <w:jc w:val="left"/>
              <w:rPr>
                <w:rFonts w:asciiTheme="minorHAnsi" w:hAnsiTheme="minorHAnsi" w:cstheme="minorHAnsi"/>
                <w:color w:val="000000"/>
                <w:sz w:val="18"/>
                <w:szCs w:val="18"/>
              </w:rPr>
            </w:pPr>
            <w:r w:rsidRPr="00DE68A1">
              <w:rPr>
                <w:rFonts w:asciiTheme="minorHAnsi" w:hAnsiTheme="minorHAnsi" w:cstheme="minorHAnsi"/>
                <w:b/>
                <w:bCs/>
                <w:color w:val="000000"/>
                <w:sz w:val="18"/>
                <w:szCs w:val="18"/>
              </w:rPr>
              <w:t>Total Credit Risk Exposure</w:t>
            </w:r>
          </w:p>
        </w:tc>
        <w:tc>
          <w:tcPr>
            <w:tcW w:w="1555" w:type="dxa"/>
            <w:tcBorders>
              <w:top w:val="single" w:sz="4" w:space="0" w:color="auto"/>
              <w:left w:val="nil"/>
              <w:bottom w:val="single" w:sz="4" w:space="0" w:color="auto"/>
              <w:right w:val="single" w:sz="4" w:space="0" w:color="auto"/>
            </w:tcBorders>
            <w:noWrap/>
            <w:vAlign w:val="center"/>
          </w:tcPr>
          <w:p w14:paraId="4F77887A" w14:textId="6AD8B921" w:rsidR="003C5549" w:rsidRPr="00DE68A1" w:rsidRDefault="00410492" w:rsidP="00684173">
            <w:pPr>
              <w:rPr>
                <w:rFonts w:asciiTheme="minorHAnsi" w:hAnsiTheme="minorHAnsi" w:cstheme="minorHAnsi"/>
                <w:color w:val="000000"/>
                <w:sz w:val="18"/>
                <w:szCs w:val="18"/>
              </w:rPr>
            </w:pPr>
            <w:r w:rsidRPr="00DE68A1">
              <w:rPr>
                <w:rFonts w:asciiTheme="minorHAnsi" w:hAnsiTheme="minorHAnsi" w:cstheme="minorHAnsi"/>
                <w:b/>
                <w:bCs/>
                <w:color w:val="000000"/>
                <w:sz w:val="18"/>
                <w:szCs w:val="18"/>
              </w:rPr>
              <w:t xml:space="preserve"> </w:t>
            </w:r>
            <w:r w:rsidR="000C2B41" w:rsidRPr="00DE68A1">
              <w:rPr>
                <w:rFonts w:asciiTheme="minorHAnsi" w:hAnsiTheme="minorHAnsi" w:cstheme="minorHAnsi"/>
                <w:b/>
                <w:bCs/>
                <w:color w:val="000000"/>
                <w:sz w:val="18"/>
                <w:szCs w:val="18"/>
              </w:rPr>
              <w:t>948</w:t>
            </w:r>
            <w:r w:rsidR="005C4F08">
              <w:rPr>
                <w:rFonts w:asciiTheme="minorHAnsi" w:hAnsiTheme="minorHAnsi" w:cstheme="minorHAnsi"/>
                <w:b/>
                <w:bCs/>
                <w:color w:val="000000"/>
                <w:sz w:val="18"/>
                <w:szCs w:val="18"/>
              </w:rPr>
              <w:t>,</w:t>
            </w:r>
            <w:r w:rsidR="000C2B41" w:rsidRPr="00DE68A1">
              <w:rPr>
                <w:rFonts w:asciiTheme="minorHAnsi" w:hAnsiTheme="minorHAnsi" w:cstheme="minorHAnsi"/>
                <w:b/>
                <w:bCs/>
                <w:color w:val="000000"/>
                <w:sz w:val="18"/>
                <w:szCs w:val="18"/>
              </w:rPr>
              <w:t>822</w:t>
            </w:r>
          </w:p>
        </w:tc>
        <w:tc>
          <w:tcPr>
            <w:tcW w:w="1565" w:type="dxa"/>
            <w:tcBorders>
              <w:top w:val="single" w:sz="4" w:space="0" w:color="auto"/>
              <w:left w:val="nil"/>
              <w:bottom w:val="single" w:sz="4" w:space="0" w:color="auto"/>
              <w:right w:val="single" w:sz="4" w:space="0" w:color="auto"/>
            </w:tcBorders>
            <w:noWrap/>
            <w:vAlign w:val="center"/>
          </w:tcPr>
          <w:p w14:paraId="37BB95ED" w14:textId="1DDE5B8E" w:rsidR="003C5549" w:rsidRPr="00DE68A1" w:rsidRDefault="00410492" w:rsidP="00684173">
            <w:pPr>
              <w:rPr>
                <w:rFonts w:asciiTheme="minorHAnsi" w:hAnsiTheme="minorHAnsi" w:cstheme="minorHAnsi"/>
                <w:color w:val="000000"/>
                <w:sz w:val="18"/>
                <w:szCs w:val="18"/>
              </w:rPr>
            </w:pPr>
            <w:r w:rsidRPr="00DE68A1">
              <w:rPr>
                <w:rFonts w:asciiTheme="minorHAnsi" w:hAnsiTheme="minorHAnsi" w:cstheme="minorHAnsi"/>
                <w:b/>
                <w:bCs/>
                <w:color w:val="000000"/>
                <w:sz w:val="18"/>
                <w:szCs w:val="18"/>
              </w:rPr>
              <w:t xml:space="preserve"> </w:t>
            </w:r>
            <w:r w:rsidR="000C2B41" w:rsidRPr="00DE68A1">
              <w:rPr>
                <w:rFonts w:asciiTheme="minorHAnsi" w:hAnsiTheme="minorHAnsi" w:cstheme="minorHAnsi"/>
                <w:b/>
                <w:bCs/>
                <w:color w:val="000000"/>
                <w:sz w:val="18"/>
                <w:szCs w:val="18"/>
              </w:rPr>
              <w:t>948</w:t>
            </w:r>
            <w:r w:rsidR="005C4F08">
              <w:rPr>
                <w:rFonts w:asciiTheme="minorHAnsi" w:hAnsiTheme="minorHAnsi" w:cstheme="minorHAnsi"/>
                <w:b/>
                <w:bCs/>
                <w:color w:val="000000"/>
                <w:sz w:val="18"/>
                <w:szCs w:val="18"/>
              </w:rPr>
              <w:t>,</w:t>
            </w:r>
            <w:r w:rsidR="000C2B41" w:rsidRPr="00DE68A1">
              <w:rPr>
                <w:rFonts w:asciiTheme="minorHAnsi" w:hAnsiTheme="minorHAnsi" w:cstheme="minorHAnsi"/>
                <w:b/>
                <w:bCs/>
                <w:color w:val="000000"/>
                <w:sz w:val="18"/>
                <w:szCs w:val="18"/>
              </w:rPr>
              <w:t>588</w:t>
            </w:r>
          </w:p>
        </w:tc>
        <w:tc>
          <w:tcPr>
            <w:tcW w:w="1890" w:type="dxa"/>
            <w:tcBorders>
              <w:top w:val="single" w:sz="4" w:space="0" w:color="auto"/>
              <w:left w:val="nil"/>
              <w:bottom w:val="single" w:sz="4" w:space="0" w:color="auto"/>
              <w:right w:val="single" w:sz="4" w:space="0" w:color="auto"/>
            </w:tcBorders>
            <w:noWrap/>
            <w:vAlign w:val="center"/>
          </w:tcPr>
          <w:p w14:paraId="32736443" w14:textId="766B0723" w:rsidR="003C5549" w:rsidRPr="00DE68A1" w:rsidRDefault="00410492" w:rsidP="00684173">
            <w:pPr>
              <w:rPr>
                <w:rFonts w:asciiTheme="minorHAnsi" w:hAnsiTheme="minorHAnsi" w:cstheme="minorHAnsi"/>
                <w:color w:val="000000"/>
                <w:sz w:val="18"/>
                <w:szCs w:val="18"/>
              </w:rPr>
            </w:pPr>
            <w:r w:rsidRPr="00DE68A1">
              <w:rPr>
                <w:rFonts w:asciiTheme="minorHAnsi" w:hAnsiTheme="minorHAnsi" w:cstheme="minorHAnsi"/>
                <w:b/>
                <w:bCs/>
                <w:color w:val="000000"/>
                <w:sz w:val="18"/>
                <w:szCs w:val="18"/>
              </w:rPr>
              <w:t xml:space="preserve"> </w:t>
            </w:r>
            <w:r w:rsidR="000C2B41" w:rsidRPr="00DE68A1">
              <w:rPr>
                <w:rFonts w:asciiTheme="minorHAnsi" w:hAnsiTheme="minorHAnsi" w:cstheme="minorHAnsi"/>
                <w:b/>
                <w:bCs/>
                <w:color w:val="000000"/>
                <w:sz w:val="18"/>
                <w:szCs w:val="18"/>
              </w:rPr>
              <w:t>624</w:t>
            </w:r>
            <w:r w:rsidR="005C4F08">
              <w:rPr>
                <w:rFonts w:asciiTheme="minorHAnsi" w:hAnsiTheme="minorHAnsi" w:cstheme="minorHAnsi"/>
                <w:b/>
                <w:bCs/>
                <w:color w:val="000000"/>
                <w:sz w:val="18"/>
                <w:szCs w:val="18"/>
              </w:rPr>
              <w:t>,</w:t>
            </w:r>
            <w:r w:rsidR="000C2B41" w:rsidRPr="00DE68A1">
              <w:rPr>
                <w:rFonts w:asciiTheme="minorHAnsi" w:hAnsiTheme="minorHAnsi" w:cstheme="minorHAnsi"/>
                <w:b/>
                <w:bCs/>
                <w:color w:val="000000"/>
                <w:sz w:val="18"/>
                <w:szCs w:val="18"/>
              </w:rPr>
              <w:t>935</w:t>
            </w:r>
          </w:p>
        </w:tc>
      </w:tr>
    </w:tbl>
    <w:p w14:paraId="1F8C5034" w14:textId="64ED94F5" w:rsidR="00FA3D96" w:rsidRPr="00DE68A1" w:rsidRDefault="00FA3D96" w:rsidP="00FA3D96">
      <w:pPr>
        <w:bidi w:val="0"/>
        <w:ind w:left="180" w:hanging="540"/>
        <w:jc w:val="center"/>
        <w:rPr>
          <w:rFonts w:ascii="Arial" w:hAnsi="Arial" w:cs="Arial"/>
          <w:b/>
          <w:bCs/>
          <w:color w:val="000000" w:themeColor="text1"/>
          <w:sz w:val="20"/>
          <w:szCs w:val="20"/>
        </w:rPr>
      </w:pPr>
    </w:p>
    <w:p w14:paraId="09787271" w14:textId="6CCB210E" w:rsidR="00FA3D96" w:rsidRPr="00DE68A1" w:rsidRDefault="00FA3D96" w:rsidP="00FA3D96">
      <w:pPr>
        <w:bidi w:val="0"/>
        <w:ind w:left="180" w:hanging="540"/>
        <w:jc w:val="center"/>
        <w:rPr>
          <w:rFonts w:ascii="Arial" w:hAnsi="Arial" w:cs="Arial"/>
          <w:b/>
          <w:bCs/>
          <w:color w:val="000000" w:themeColor="text1"/>
          <w:sz w:val="20"/>
          <w:szCs w:val="20"/>
        </w:rPr>
      </w:pPr>
    </w:p>
    <w:p w14:paraId="47C00548" w14:textId="5BF0C3DA" w:rsidR="00FA3D96" w:rsidRPr="00DE68A1" w:rsidRDefault="00A13DDD" w:rsidP="00D34E97">
      <w:pPr>
        <w:bidi w:val="0"/>
        <w:ind w:left="180" w:hanging="540"/>
        <w:rPr>
          <w:rFonts w:ascii="Arial" w:hAnsi="Arial" w:cs="Arial"/>
          <w:b/>
          <w:bCs/>
          <w:color w:val="000000" w:themeColor="text1"/>
          <w:sz w:val="20"/>
          <w:szCs w:val="20"/>
        </w:rPr>
      </w:pPr>
      <w:r w:rsidRPr="00DE68A1">
        <w:rPr>
          <w:rFonts w:ascii="Arial" w:hAnsi="Arial" w:cs="Arial"/>
          <w:b/>
          <w:bCs/>
          <w:color w:val="000000" w:themeColor="text1"/>
          <w:sz w:val="20"/>
          <w:szCs w:val="20"/>
        </w:rPr>
        <w:lastRenderedPageBreak/>
        <w:tab/>
        <w:t xml:space="preserve">IFRS9 Model Validation: </w:t>
      </w:r>
    </w:p>
    <w:p w14:paraId="12EF6B47" w14:textId="05F32D82" w:rsidR="00A13DDD" w:rsidRPr="00DE68A1" w:rsidRDefault="00A13DDD" w:rsidP="00A13DDD">
      <w:pPr>
        <w:bidi w:val="0"/>
        <w:ind w:left="180" w:hanging="540"/>
        <w:rPr>
          <w:rFonts w:ascii="Arial" w:hAnsi="Arial" w:cs="Arial"/>
          <w:b/>
          <w:bCs/>
          <w:color w:val="000000" w:themeColor="text1"/>
          <w:sz w:val="20"/>
          <w:szCs w:val="20"/>
        </w:rPr>
      </w:pPr>
    </w:p>
    <w:p w14:paraId="5D2575DE" w14:textId="2008F6F6" w:rsidR="00A13DDD" w:rsidRPr="00DE68A1" w:rsidRDefault="00A13DDD" w:rsidP="001D2EA5">
      <w:pPr>
        <w:bidi w:val="0"/>
        <w:spacing w:line="276" w:lineRule="auto"/>
        <w:ind w:left="180" w:hanging="540"/>
        <w:jc w:val="both"/>
      </w:pPr>
      <w:r w:rsidRPr="00DE68A1">
        <w:rPr>
          <w:rFonts w:ascii="Arial" w:hAnsi="Arial" w:cs="Arial"/>
          <w:b/>
          <w:bCs/>
          <w:color w:val="000000" w:themeColor="text1"/>
          <w:sz w:val="20"/>
          <w:szCs w:val="20"/>
        </w:rPr>
        <w:tab/>
      </w:r>
      <w:r w:rsidRPr="00DE68A1">
        <w:t xml:space="preserve">Risk Management updated its financial model for calculating probability of defaults (PDs) at both the customer and credit rating category levels to arrive at Expected Credit Loss (ECL) assessments. A professional validation exercise was performed by independent experts – </w:t>
      </w:r>
      <w:proofErr w:type="spellStart"/>
      <w:r w:rsidRPr="00DE68A1">
        <w:t>Loxon</w:t>
      </w:r>
      <w:proofErr w:type="spellEnd"/>
      <w:r w:rsidRPr="00DE68A1">
        <w:t xml:space="preserve"> Advisory Services, Hungary. An advanced statistical analysis of the credit portfolio was conducted for this validation. Firstly, validation was performed on our existing internal credit rating scale and ratings given to customers based on financial and behavioral factors. The results showed an increase in default rates as it moves from better to worse rating grades, and an even better monotonous increase in the average calculated IFRS9 PD, which showed that the IBK internal rating is a good input for IFRS9 PD models and was statistically significant. Secondly, average one – year probability of default (PD) was determined and validated for all internal credit rating categories. Thirdly, one year, through the cycle Probability of Default was established and validated for all customers including macroeconomic overlay. These PDs together with IFRS9 stage classifications and CBK guidelines provide the forward</w:t>
      </w:r>
      <w:r w:rsidR="00EC04FB">
        <w:t>-</w:t>
      </w:r>
      <w:r w:rsidRPr="00DE68A1">
        <w:t>looking Expected Loan Loss Provisions as per IFRS9 guidelines. The entire model validation, internal rating and probability of default exercise has been subject to independent special audit by E&amp;Y, who have given full clearance for the validation process and results. The stagewise, IFRS9 exposures and the corresponding Expected Credit Loss for each stage are mentioned below:</w:t>
      </w:r>
    </w:p>
    <w:p w14:paraId="5AAAB63A" w14:textId="77777777" w:rsidR="004D3209" w:rsidRPr="00DE68A1" w:rsidRDefault="004D3209" w:rsidP="004D3209">
      <w:pPr>
        <w:bidi w:val="0"/>
        <w:spacing w:line="276" w:lineRule="auto"/>
        <w:ind w:left="180" w:hanging="540"/>
        <w:jc w:val="both"/>
      </w:pPr>
    </w:p>
    <w:tbl>
      <w:tblPr>
        <w:tblW w:w="8221" w:type="dxa"/>
        <w:tblInd w:w="416" w:type="dxa"/>
        <w:tblLook w:val="04A0" w:firstRow="1" w:lastRow="0" w:firstColumn="1" w:lastColumn="0" w:noHBand="0" w:noVBand="1"/>
      </w:tblPr>
      <w:tblGrid>
        <w:gridCol w:w="1746"/>
        <w:gridCol w:w="2994"/>
        <w:gridCol w:w="3481"/>
      </w:tblGrid>
      <w:tr w:rsidR="00C03ACF" w:rsidRPr="00DE68A1" w14:paraId="0878E275" w14:textId="77777777" w:rsidTr="00FC6CE4">
        <w:trPr>
          <w:trHeight w:val="381"/>
        </w:trPr>
        <w:tc>
          <w:tcPr>
            <w:tcW w:w="8221" w:type="dxa"/>
            <w:gridSpan w:val="3"/>
            <w:tcBorders>
              <w:top w:val="single" w:sz="8" w:space="0" w:color="auto"/>
              <w:left w:val="single" w:sz="8" w:space="0" w:color="auto"/>
              <w:bottom w:val="single" w:sz="4" w:space="0" w:color="auto"/>
              <w:right w:val="single" w:sz="8" w:space="0" w:color="000000"/>
            </w:tcBorders>
            <w:shd w:val="clear" w:color="000000" w:fill="002060"/>
            <w:noWrap/>
            <w:vAlign w:val="bottom"/>
            <w:hideMark/>
          </w:tcPr>
          <w:p w14:paraId="2FC089F2" w14:textId="1C3D675E" w:rsidR="00C03ACF" w:rsidRPr="00DE68A1" w:rsidRDefault="00C03ACF" w:rsidP="00C03ACF">
            <w:pPr>
              <w:bidi w:val="0"/>
              <w:jc w:val="center"/>
              <w:rPr>
                <w:rFonts w:asciiTheme="minorHAnsi" w:hAnsiTheme="minorHAnsi" w:cstheme="minorHAnsi"/>
                <w:b/>
                <w:bCs/>
                <w:color w:val="FFFFFF"/>
                <w:sz w:val="18"/>
                <w:szCs w:val="18"/>
              </w:rPr>
            </w:pPr>
            <w:r w:rsidRPr="00DE68A1">
              <w:rPr>
                <w:rFonts w:asciiTheme="minorHAnsi" w:hAnsiTheme="minorHAnsi" w:cstheme="minorHAnsi"/>
                <w:b/>
                <w:bCs/>
                <w:color w:val="FFFFFF"/>
                <w:sz w:val="18"/>
                <w:szCs w:val="18"/>
              </w:rPr>
              <w:t>IFRS9 - EXPECTED CREDIT LOSSES - STAGEWISE - AS ON 31.12.</w:t>
            </w:r>
            <w:r w:rsidR="00E01875" w:rsidRPr="00DE68A1">
              <w:rPr>
                <w:rFonts w:asciiTheme="minorHAnsi" w:hAnsiTheme="minorHAnsi" w:cstheme="minorHAnsi"/>
                <w:b/>
                <w:bCs/>
                <w:color w:val="FFFFFF"/>
                <w:sz w:val="18"/>
                <w:szCs w:val="18"/>
              </w:rPr>
              <w:t>202</w:t>
            </w:r>
            <w:r w:rsidR="009B3450" w:rsidRPr="00DE68A1">
              <w:rPr>
                <w:rFonts w:asciiTheme="minorHAnsi" w:hAnsiTheme="minorHAnsi" w:cstheme="minorHAnsi"/>
                <w:b/>
                <w:bCs/>
                <w:color w:val="FFFFFF"/>
                <w:sz w:val="18"/>
                <w:szCs w:val="18"/>
              </w:rPr>
              <w:t>5</w:t>
            </w:r>
            <w:r w:rsidR="002A5C72" w:rsidRPr="00DE68A1">
              <w:rPr>
                <w:rFonts w:asciiTheme="minorHAnsi" w:hAnsiTheme="minorHAnsi" w:cstheme="minorHAnsi"/>
                <w:b/>
                <w:bCs/>
                <w:color w:val="FFFFFF"/>
                <w:sz w:val="18"/>
                <w:szCs w:val="18"/>
              </w:rPr>
              <w:t xml:space="preserve"> (All figures in KD ‘000)</w:t>
            </w:r>
          </w:p>
        </w:tc>
      </w:tr>
      <w:tr w:rsidR="00C03ACF" w:rsidRPr="00DE68A1" w14:paraId="645DB7C9" w14:textId="77777777" w:rsidTr="00FC6CE4">
        <w:trPr>
          <w:trHeight w:val="411"/>
        </w:trPr>
        <w:tc>
          <w:tcPr>
            <w:tcW w:w="1746" w:type="dxa"/>
            <w:tcBorders>
              <w:top w:val="nil"/>
              <w:left w:val="single" w:sz="8" w:space="0" w:color="auto"/>
              <w:bottom w:val="single" w:sz="4" w:space="0" w:color="auto"/>
              <w:right w:val="single" w:sz="4" w:space="0" w:color="auto"/>
            </w:tcBorders>
            <w:shd w:val="clear" w:color="000000" w:fill="002060"/>
            <w:noWrap/>
            <w:vAlign w:val="center"/>
            <w:hideMark/>
          </w:tcPr>
          <w:p w14:paraId="2094584E" w14:textId="77777777" w:rsidR="00C03ACF" w:rsidRPr="00DE68A1" w:rsidRDefault="00C03ACF" w:rsidP="00A77725">
            <w:pPr>
              <w:bidi w:val="0"/>
              <w:jc w:val="center"/>
              <w:rPr>
                <w:rFonts w:asciiTheme="minorHAnsi" w:hAnsiTheme="minorHAnsi" w:cstheme="minorHAnsi"/>
                <w:b/>
                <w:bCs/>
                <w:color w:val="FFFFFF"/>
                <w:sz w:val="18"/>
                <w:szCs w:val="18"/>
              </w:rPr>
            </w:pPr>
            <w:r w:rsidRPr="00DE68A1">
              <w:rPr>
                <w:rFonts w:asciiTheme="minorHAnsi" w:hAnsiTheme="minorHAnsi" w:cstheme="minorHAnsi"/>
                <w:b/>
                <w:bCs/>
                <w:color w:val="FFFFFF"/>
                <w:sz w:val="18"/>
                <w:szCs w:val="18"/>
              </w:rPr>
              <w:t>Stages</w:t>
            </w:r>
          </w:p>
        </w:tc>
        <w:tc>
          <w:tcPr>
            <w:tcW w:w="2994" w:type="dxa"/>
            <w:tcBorders>
              <w:top w:val="nil"/>
              <w:left w:val="nil"/>
              <w:bottom w:val="single" w:sz="4" w:space="0" w:color="auto"/>
              <w:right w:val="single" w:sz="4" w:space="0" w:color="auto"/>
            </w:tcBorders>
            <w:shd w:val="clear" w:color="000000" w:fill="002060"/>
            <w:noWrap/>
            <w:vAlign w:val="center"/>
            <w:hideMark/>
          </w:tcPr>
          <w:p w14:paraId="760C6BD8" w14:textId="1C980D26" w:rsidR="00C03ACF" w:rsidRPr="00DE68A1" w:rsidRDefault="00D00369" w:rsidP="00A77725">
            <w:pPr>
              <w:bidi w:val="0"/>
              <w:jc w:val="center"/>
              <w:rPr>
                <w:rFonts w:asciiTheme="minorHAnsi" w:hAnsiTheme="minorHAnsi" w:cstheme="minorHAnsi"/>
                <w:b/>
                <w:bCs/>
                <w:color w:val="FFFFFF"/>
                <w:sz w:val="18"/>
                <w:szCs w:val="18"/>
              </w:rPr>
            </w:pPr>
            <w:r w:rsidRPr="00DE68A1">
              <w:rPr>
                <w:rFonts w:asciiTheme="minorHAnsi" w:hAnsiTheme="minorHAnsi" w:cstheme="minorHAnsi"/>
                <w:b/>
                <w:bCs/>
                <w:color w:val="FFFFFF"/>
                <w:sz w:val="18"/>
                <w:szCs w:val="18"/>
              </w:rPr>
              <w:t>Exposure</w:t>
            </w:r>
          </w:p>
        </w:tc>
        <w:tc>
          <w:tcPr>
            <w:tcW w:w="3481" w:type="dxa"/>
            <w:tcBorders>
              <w:top w:val="nil"/>
              <w:left w:val="nil"/>
              <w:bottom w:val="single" w:sz="4" w:space="0" w:color="auto"/>
              <w:right w:val="single" w:sz="8" w:space="0" w:color="auto"/>
            </w:tcBorders>
            <w:shd w:val="clear" w:color="000000" w:fill="002060"/>
            <w:noWrap/>
            <w:vAlign w:val="center"/>
            <w:hideMark/>
          </w:tcPr>
          <w:p w14:paraId="5592308F" w14:textId="621EF62A" w:rsidR="00C03ACF" w:rsidRPr="00DE68A1" w:rsidRDefault="00C03ACF" w:rsidP="00A77725">
            <w:pPr>
              <w:bidi w:val="0"/>
              <w:jc w:val="center"/>
              <w:rPr>
                <w:rFonts w:asciiTheme="minorHAnsi" w:hAnsiTheme="minorHAnsi" w:cstheme="minorHAnsi"/>
                <w:b/>
                <w:bCs/>
                <w:color w:val="FFFFFF"/>
                <w:sz w:val="18"/>
                <w:szCs w:val="18"/>
              </w:rPr>
            </w:pPr>
            <w:r w:rsidRPr="00DE68A1">
              <w:rPr>
                <w:rFonts w:asciiTheme="minorHAnsi" w:hAnsiTheme="minorHAnsi" w:cstheme="minorHAnsi"/>
                <w:b/>
                <w:bCs/>
                <w:color w:val="FFFFFF"/>
                <w:sz w:val="18"/>
                <w:szCs w:val="18"/>
              </w:rPr>
              <w:t>Expecte</w:t>
            </w:r>
            <w:r w:rsidR="001C5D30" w:rsidRPr="00DE68A1">
              <w:rPr>
                <w:rFonts w:asciiTheme="minorHAnsi" w:hAnsiTheme="minorHAnsi" w:cstheme="minorHAnsi"/>
                <w:b/>
                <w:bCs/>
                <w:color w:val="FFFFFF"/>
                <w:sz w:val="18"/>
                <w:szCs w:val="18"/>
              </w:rPr>
              <w:t xml:space="preserve">d Credit Loss </w:t>
            </w:r>
            <w:r w:rsidR="00761CDB" w:rsidRPr="00DE68A1">
              <w:rPr>
                <w:rFonts w:asciiTheme="minorHAnsi" w:hAnsiTheme="minorHAnsi" w:cstheme="minorHAnsi"/>
                <w:b/>
                <w:bCs/>
                <w:color w:val="FFFFFF"/>
                <w:sz w:val="18"/>
                <w:szCs w:val="18"/>
              </w:rPr>
              <w:t>(</w:t>
            </w:r>
            <w:r w:rsidR="001C5D30" w:rsidRPr="00DE68A1">
              <w:rPr>
                <w:rFonts w:asciiTheme="minorHAnsi" w:hAnsiTheme="minorHAnsi" w:cstheme="minorHAnsi"/>
                <w:b/>
                <w:bCs/>
                <w:color w:val="FFFFFF"/>
                <w:sz w:val="18"/>
                <w:szCs w:val="18"/>
              </w:rPr>
              <w:t>ECL</w:t>
            </w:r>
            <w:r w:rsidR="00761CDB" w:rsidRPr="00DE68A1">
              <w:rPr>
                <w:rFonts w:asciiTheme="minorHAnsi" w:hAnsiTheme="minorHAnsi" w:cstheme="minorHAnsi"/>
                <w:b/>
                <w:bCs/>
                <w:color w:val="FFFFFF"/>
                <w:sz w:val="18"/>
                <w:szCs w:val="18"/>
              </w:rPr>
              <w:t>)</w:t>
            </w:r>
          </w:p>
        </w:tc>
      </w:tr>
      <w:tr w:rsidR="004D3209" w:rsidRPr="00DE68A1" w14:paraId="140C807C" w14:textId="77777777" w:rsidTr="00EC04FB">
        <w:trPr>
          <w:trHeight w:val="417"/>
        </w:trPr>
        <w:tc>
          <w:tcPr>
            <w:tcW w:w="1746" w:type="dxa"/>
            <w:tcBorders>
              <w:top w:val="nil"/>
              <w:left w:val="single" w:sz="8" w:space="0" w:color="auto"/>
              <w:bottom w:val="single" w:sz="4" w:space="0" w:color="auto"/>
              <w:right w:val="single" w:sz="4" w:space="0" w:color="auto"/>
            </w:tcBorders>
            <w:noWrap/>
            <w:vAlign w:val="center"/>
            <w:hideMark/>
          </w:tcPr>
          <w:p w14:paraId="7A60920D" w14:textId="77777777" w:rsidR="004D3209" w:rsidRPr="00EC04FB" w:rsidRDefault="004D3209" w:rsidP="004D3209">
            <w:pPr>
              <w:bidi w:val="0"/>
              <w:rPr>
                <w:rFonts w:asciiTheme="minorHAnsi" w:hAnsiTheme="minorHAnsi" w:cstheme="minorHAnsi"/>
                <w:color w:val="000000"/>
                <w:sz w:val="22"/>
                <w:szCs w:val="22"/>
              </w:rPr>
            </w:pPr>
            <w:r w:rsidRPr="00EC04FB">
              <w:rPr>
                <w:rFonts w:asciiTheme="minorHAnsi" w:hAnsiTheme="minorHAnsi" w:cstheme="minorHAnsi"/>
                <w:color w:val="000000"/>
                <w:sz w:val="22"/>
                <w:szCs w:val="22"/>
              </w:rPr>
              <w:t>Stage - 1</w:t>
            </w:r>
          </w:p>
        </w:tc>
        <w:tc>
          <w:tcPr>
            <w:tcW w:w="2994" w:type="dxa"/>
            <w:tcBorders>
              <w:top w:val="nil"/>
              <w:left w:val="nil"/>
              <w:bottom w:val="single" w:sz="4" w:space="0" w:color="auto"/>
              <w:right w:val="single" w:sz="4" w:space="0" w:color="auto"/>
            </w:tcBorders>
            <w:noWrap/>
            <w:vAlign w:val="center"/>
          </w:tcPr>
          <w:p w14:paraId="65CFFC79" w14:textId="2047A603" w:rsidR="004D3209" w:rsidRPr="00EC04FB" w:rsidRDefault="004D3209" w:rsidP="00EC04FB">
            <w:pPr>
              <w:bidi w:val="0"/>
              <w:jc w:val="center"/>
              <w:rPr>
                <w:rFonts w:asciiTheme="minorHAnsi" w:hAnsiTheme="minorHAnsi" w:cstheme="minorHAnsi"/>
                <w:color w:val="000000"/>
                <w:sz w:val="22"/>
                <w:szCs w:val="22"/>
              </w:rPr>
            </w:pPr>
            <w:r w:rsidRPr="00EC04FB">
              <w:rPr>
                <w:rFonts w:ascii="Calibri" w:hAnsi="Calibri" w:cs="Calibri"/>
                <w:color w:val="000000"/>
                <w:sz w:val="22"/>
                <w:szCs w:val="22"/>
              </w:rPr>
              <w:t>253</w:t>
            </w:r>
            <w:r w:rsidR="009321FA" w:rsidRPr="00EC04FB">
              <w:rPr>
                <w:rFonts w:ascii="Calibri" w:hAnsi="Calibri" w:cs="Calibri"/>
                <w:color w:val="000000"/>
                <w:sz w:val="22"/>
                <w:szCs w:val="22"/>
              </w:rPr>
              <w:t>,</w:t>
            </w:r>
            <w:r w:rsidRPr="00EC04FB">
              <w:rPr>
                <w:rFonts w:ascii="Calibri" w:hAnsi="Calibri" w:cs="Calibri"/>
                <w:color w:val="000000"/>
                <w:sz w:val="22"/>
                <w:szCs w:val="22"/>
              </w:rPr>
              <w:t>099</w:t>
            </w:r>
          </w:p>
        </w:tc>
        <w:tc>
          <w:tcPr>
            <w:tcW w:w="3481" w:type="dxa"/>
            <w:tcBorders>
              <w:top w:val="nil"/>
              <w:left w:val="nil"/>
              <w:bottom w:val="single" w:sz="4" w:space="0" w:color="auto"/>
              <w:right w:val="single" w:sz="8" w:space="0" w:color="auto"/>
            </w:tcBorders>
            <w:noWrap/>
            <w:vAlign w:val="center"/>
          </w:tcPr>
          <w:p w14:paraId="7715A29E" w14:textId="4BA61C9C" w:rsidR="004D3209" w:rsidRPr="00EC04FB" w:rsidRDefault="004D3209" w:rsidP="00EC04FB">
            <w:pPr>
              <w:bidi w:val="0"/>
              <w:jc w:val="center"/>
              <w:rPr>
                <w:rFonts w:asciiTheme="minorHAnsi" w:hAnsiTheme="minorHAnsi" w:cstheme="minorHAnsi"/>
                <w:color w:val="000000"/>
                <w:sz w:val="22"/>
                <w:szCs w:val="22"/>
              </w:rPr>
            </w:pPr>
            <w:r w:rsidRPr="00EC04FB">
              <w:rPr>
                <w:rFonts w:ascii="Calibri" w:hAnsi="Calibri" w:cs="Calibri"/>
                <w:color w:val="000000"/>
                <w:sz w:val="22"/>
                <w:szCs w:val="22"/>
              </w:rPr>
              <w:t>1</w:t>
            </w:r>
            <w:r w:rsidR="009321FA" w:rsidRPr="00EC04FB">
              <w:rPr>
                <w:rFonts w:ascii="Calibri" w:hAnsi="Calibri" w:cs="Calibri"/>
                <w:color w:val="000000"/>
                <w:sz w:val="22"/>
                <w:szCs w:val="22"/>
              </w:rPr>
              <w:t>,</w:t>
            </w:r>
            <w:r w:rsidRPr="00EC04FB">
              <w:rPr>
                <w:rFonts w:ascii="Calibri" w:hAnsi="Calibri" w:cs="Calibri"/>
                <w:color w:val="000000"/>
                <w:sz w:val="22"/>
                <w:szCs w:val="22"/>
              </w:rPr>
              <w:t>122</w:t>
            </w:r>
          </w:p>
        </w:tc>
      </w:tr>
      <w:tr w:rsidR="004D3209" w:rsidRPr="00DE68A1" w14:paraId="43AE0D5F" w14:textId="77777777" w:rsidTr="00EC04FB">
        <w:trPr>
          <w:trHeight w:val="409"/>
        </w:trPr>
        <w:tc>
          <w:tcPr>
            <w:tcW w:w="1746" w:type="dxa"/>
            <w:tcBorders>
              <w:top w:val="nil"/>
              <w:left w:val="single" w:sz="8" w:space="0" w:color="auto"/>
              <w:bottom w:val="single" w:sz="4" w:space="0" w:color="auto"/>
              <w:right w:val="single" w:sz="4" w:space="0" w:color="auto"/>
            </w:tcBorders>
            <w:noWrap/>
            <w:vAlign w:val="center"/>
            <w:hideMark/>
          </w:tcPr>
          <w:p w14:paraId="3EA9DCE7" w14:textId="77777777" w:rsidR="004D3209" w:rsidRPr="00EC04FB" w:rsidRDefault="004D3209" w:rsidP="004D3209">
            <w:pPr>
              <w:bidi w:val="0"/>
              <w:rPr>
                <w:rFonts w:asciiTheme="minorHAnsi" w:hAnsiTheme="minorHAnsi" w:cstheme="minorHAnsi"/>
                <w:color w:val="000000"/>
                <w:sz w:val="22"/>
                <w:szCs w:val="22"/>
              </w:rPr>
            </w:pPr>
            <w:r w:rsidRPr="00EC04FB">
              <w:rPr>
                <w:rFonts w:asciiTheme="minorHAnsi" w:hAnsiTheme="minorHAnsi" w:cstheme="minorHAnsi"/>
                <w:color w:val="000000"/>
                <w:sz w:val="22"/>
                <w:szCs w:val="22"/>
              </w:rPr>
              <w:t>Stage - 2</w:t>
            </w:r>
          </w:p>
        </w:tc>
        <w:tc>
          <w:tcPr>
            <w:tcW w:w="2994" w:type="dxa"/>
            <w:tcBorders>
              <w:top w:val="nil"/>
              <w:left w:val="nil"/>
              <w:bottom w:val="single" w:sz="4" w:space="0" w:color="auto"/>
              <w:right w:val="single" w:sz="4" w:space="0" w:color="auto"/>
            </w:tcBorders>
            <w:noWrap/>
            <w:vAlign w:val="center"/>
          </w:tcPr>
          <w:p w14:paraId="158C6B2E" w14:textId="77B87563" w:rsidR="004D3209" w:rsidRPr="00EC04FB" w:rsidRDefault="004D3209" w:rsidP="00EC04FB">
            <w:pPr>
              <w:bidi w:val="0"/>
              <w:jc w:val="center"/>
              <w:rPr>
                <w:rFonts w:asciiTheme="minorHAnsi" w:hAnsiTheme="minorHAnsi" w:cstheme="minorHAnsi"/>
                <w:color w:val="000000"/>
                <w:sz w:val="22"/>
                <w:szCs w:val="22"/>
              </w:rPr>
            </w:pPr>
            <w:r w:rsidRPr="00EC04FB">
              <w:rPr>
                <w:rFonts w:ascii="Calibri" w:hAnsi="Calibri" w:cs="Calibri"/>
                <w:color w:val="000000"/>
                <w:sz w:val="22"/>
                <w:szCs w:val="22"/>
              </w:rPr>
              <w:t>66</w:t>
            </w:r>
            <w:r w:rsidR="009321FA" w:rsidRPr="00EC04FB">
              <w:rPr>
                <w:rFonts w:ascii="Calibri" w:hAnsi="Calibri" w:cs="Calibri"/>
                <w:color w:val="000000"/>
                <w:sz w:val="22"/>
                <w:szCs w:val="22"/>
              </w:rPr>
              <w:t>,</w:t>
            </w:r>
            <w:r w:rsidRPr="00EC04FB">
              <w:rPr>
                <w:rFonts w:ascii="Calibri" w:hAnsi="Calibri" w:cs="Calibri"/>
                <w:color w:val="000000"/>
                <w:sz w:val="22"/>
                <w:szCs w:val="22"/>
              </w:rPr>
              <w:t>848</w:t>
            </w:r>
          </w:p>
        </w:tc>
        <w:tc>
          <w:tcPr>
            <w:tcW w:w="3481" w:type="dxa"/>
            <w:tcBorders>
              <w:top w:val="nil"/>
              <w:left w:val="nil"/>
              <w:bottom w:val="single" w:sz="4" w:space="0" w:color="auto"/>
              <w:right w:val="single" w:sz="8" w:space="0" w:color="auto"/>
            </w:tcBorders>
            <w:noWrap/>
            <w:vAlign w:val="center"/>
          </w:tcPr>
          <w:p w14:paraId="46F86E58" w14:textId="3EA45AE6" w:rsidR="004D3209" w:rsidRPr="00EC04FB" w:rsidRDefault="004D3209" w:rsidP="00EC04FB">
            <w:pPr>
              <w:bidi w:val="0"/>
              <w:jc w:val="center"/>
              <w:rPr>
                <w:rFonts w:asciiTheme="minorHAnsi" w:hAnsiTheme="minorHAnsi" w:cstheme="minorHAnsi"/>
                <w:color w:val="000000"/>
                <w:sz w:val="22"/>
                <w:szCs w:val="22"/>
              </w:rPr>
            </w:pPr>
            <w:r w:rsidRPr="00EC04FB">
              <w:rPr>
                <w:rFonts w:ascii="Calibri" w:hAnsi="Calibri" w:cs="Calibri"/>
                <w:color w:val="000000"/>
                <w:sz w:val="22"/>
                <w:szCs w:val="22"/>
              </w:rPr>
              <w:t>1</w:t>
            </w:r>
            <w:r w:rsidR="009321FA" w:rsidRPr="00EC04FB">
              <w:rPr>
                <w:rFonts w:ascii="Calibri" w:hAnsi="Calibri" w:cs="Calibri"/>
                <w:color w:val="000000"/>
                <w:sz w:val="22"/>
                <w:szCs w:val="22"/>
              </w:rPr>
              <w:t>,</w:t>
            </w:r>
            <w:r w:rsidRPr="00EC04FB">
              <w:rPr>
                <w:rFonts w:ascii="Calibri" w:hAnsi="Calibri" w:cs="Calibri"/>
                <w:color w:val="000000"/>
                <w:sz w:val="22"/>
                <w:szCs w:val="22"/>
              </w:rPr>
              <w:t>033</w:t>
            </w:r>
          </w:p>
        </w:tc>
      </w:tr>
      <w:tr w:rsidR="004D3209" w:rsidRPr="00DE68A1" w14:paraId="5C66B57B" w14:textId="77777777" w:rsidTr="00EC04FB">
        <w:trPr>
          <w:trHeight w:val="429"/>
        </w:trPr>
        <w:tc>
          <w:tcPr>
            <w:tcW w:w="1746" w:type="dxa"/>
            <w:tcBorders>
              <w:top w:val="nil"/>
              <w:left w:val="single" w:sz="8" w:space="0" w:color="auto"/>
              <w:bottom w:val="single" w:sz="4" w:space="0" w:color="auto"/>
              <w:right w:val="single" w:sz="4" w:space="0" w:color="auto"/>
            </w:tcBorders>
            <w:noWrap/>
            <w:vAlign w:val="center"/>
            <w:hideMark/>
          </w:tcPr>
          <w:p w14:paraId="0743C278" w14:textId="77777777" w:rsidR="004D3209" w:rsidRPr="00EC04FB" w:rsidRDefault="004D3209" w:rsidP="004D3209">
            <w:pPr>
              <w:bidi w:val="0"/>
              <w:rPr>
                <w:rFonts w:asciiTheme="minorHAnsi" w:hAnsiTheme="minorHAnsi" w:cstheme="minorHAnsi"/>
                <w:color w:val="000000"/>
                <w:sz w:val="22"/>
                <w:szCs w:val="22"/>
              </w:rPr>
            </w:pPr>
            <w:r w:rsidRPr="00EC04FB">
              <w:rPr>
                <w:rFonts w:asciiTheme="minorHAnsi" w:hAnsiTheme="minorHAnsi" w:cstheme="minorHAnsi"/>
                <w:color w:val="000000"/>
                <w:sz w:val="22"/>
                <w:szCs w:val="22"/>
              </w:rPr>
              <w:t>Stage - 3</w:t>
            </w:r>
          </w:p>
        </w:tc>
        <w:tc>
          <w:tcPr>
            <w:tcW w:w="2994" w:type="dxa"/>
            <w:tcBorders>
              <w:top w:val="nil"/>
              <w:left w:val="nil"/>
              <w:bottom w:val="single" w:sz="4" w:space="0" w:color="auto"/>
              <w:right w:val="single" w:sz="4" w:space="0" w:color="auto"/>
            </w:tcBorders>
            <w:noWrap/>
            <w:vAlign w:val="center"/>
          </w:tcPr>
          <w:p w14:paraId="4D88179C" w14:textId="7A7C4EEC" w:rsidR="004D3209" w:rsidRPr="00EC04FB" w:rsidRDefault="004D3209" w:rsidP="00EC04FB">
            <w:pPr>
              <w:bidi w:val="0"/>
              <w:jc w:val="center"/>
              <w:rPr>
                <w:rFonts w:asciiTheme="minorHAnsi" w:hAnsiTheme="minorHAnsi" w:cstheme="minorHAnsi"/>
                <w:color w:val="000000"/>
                <w:sz w:val="22"/>
                <w:szCs w:val="22"/>
              </w:rPr>
            </w:pPr>
            <w:r w:rsidRPr="00EC04FB">
              <w:rPr>
                <w:rFonts w:ascii="Calibri" w:hAnsi="Calibri" w:cs="Calibri"/>
                <w:color w:val="000000"/>
                <w:sz w:val="22"/>
                <w:szCs w:val="22"/>
              </w:rPr>
              <w:t>12</w:t>
            </w:r>
            <w:r w:rsidR="009321FA" w:rsidRPr="00EC04FB">
              <w:rPr>
                <w:rFonts w:ascii="Calibri" w:hAnsi="Calibri" w:cs="Calibri"/>
                <w:color w:val="000000"/>
                <w:sz w:val="22"/>
                <w:szCs w:val="22"/>
              </w:rPr>
              <w:t>,</w:t>
            </w:r>
            <w:r w:rsidRPr="00EC04FB">
              <w:rPr>
                <w:rFonts w:ascii="Calibri" w:hAnsi="Calibri" w:cs="Calibri"/>
                <w:color w:val="000000"/>
                <w:sz w:val="22"/>
                <w:szCs w:val="22"/>
              </w:rPr>
              <w:t>540</w:t>
            </w:r>
          </w:p>
        </w:tc>
        <w:tc>
          <w:tcPr>
            <w:tcW w:w="3481" w:type="dxa"/>
            <w:tcBorders>
              <w:top w:val="nil"/>
              <w:left w:val="nil"/>
              <w:bottom w:val="single" w:sz="4" w:space="0" w:color="auto"/>
              <w:right w:val="single" w:sz="8" w:space="0" w:color="auto"/>
            </w:tcBorders>
            <w:noWrap/>
            <w:vAlign w:val="center"/>
          </w:tcPr>
          <w:p w14:paraId="78FEA757" w14:textId="423FF54F" w:rsidR="004D3209" w:rsidRPr="00EC04FB" w:rsidRDefault="004D3209" w:rsidP="00EC04FB">
            <w:pPr>
              <w:bidi w:val="0"/>
              <w:jc w:val="center"/>
              <w:rPr>
                <w:rFonts w:asciiTheme="minorHAnsi" w:hAnsiTheme="minorHAnsi" w:cstheme="minorHAnsi"/>
                <w:color w:val="000000"/>
                <w:sz w:val="22"/>
                <w:szCs w:val="22"/>
              </w:rPr>
            </w:pPr>
            <w:r w:rsidRPr="00EC04FB">
              <w:rPr>
                <w:rFonts w:ascii="Calibri" w:hAnsi="Calibri" w:cs="Calibri"/>
                <w:color w:val="000000"/>
                <w:sz w:val="22"/>
                <w:szCs w:val="22"/>
              </w:rPr>
              <w:t>10</w:t>
            </w:r>
            <w:r w:rsidR="009321FA" w:rsidRPr="00EC04FB">
              <w:rPr>
                <w:rFonts w:ascii="Calibri" w:hAnsi="Calibri" w:cs="Calibri"/>
                <w:color w:val="000000"/>
                <w:sz w:val="22"/>
                <w:szCs w:val="22"/>
              </w:rPr>
              <w:t>,</w:t>
            </w:r>
            <w:r w:rsidRPr="00EC04FB">
              <w:rPr>
                <w:rFonts w:ascii="Calibri" w:hAnsi="Calibri" w:cs="Calibri"/>
                <w:color w:val="000000"/>
                <w:sz w:val="22"/>
                <w:szCs w:val="22"/>
              </w:rPr>
              <w:t>525</w:t>
            </w:r>
          </w:p>
        </w:tc>
      </w:tr>
      <w:tr w:rsidR="004D3209" w:rsidRPr="00DE68A1" w14:paraId="07FA86C3" w14:textId="77777777" w:rsidTr="00EC04FB">
        <w:trPr>
          <w:trHeight w:val="397"/>
        </w:trPr>
        <w:tc>
          <w:tcPr>
            <w:tcW w:w="1746" w:type="dxa"/>
            <w:tcBorders>
              <w:top w:val="single" w:sz="8" w:space="0" w:color="auto"/>
              <w:left w:val="single" w:sz="8" w:space="0" w:color="auto"/>
              <w:bottom w:val="single" w:sz="8" w:space="0" w:color="auto"/>
              <w:right w:val="single" w:sz="4" w:space="0" w:color="auto"/>
            </w:tcBorders>
            <w:noWrap/>
            <w:vAlign w:val="center"/>
            <w:hideMark/>
          </w:tcPr>
          <w:p w14:paraId="6B4D19B4" w14:textId="78AA59CD" w:rsidR="004D3209" w:rsidRPr="00EC04FB" w:rsidRDefault="004D3209" w:rsidP="004D3209">
            <w:pPr>
              <w:bidi w:val="0"/>
              <w:rPr>
                <w:rFonts w:asciiTheme="minorHAnsi" w:hAnsiTheme="minorHAnsi" w:cstheme="minorHAnsi"/>
                <w:b/>
                <w:bCs/>
                <w:color w:val="000000"/>
                <w:sz w:val="22"/>
                <w:szCs w:val="22"/>
              </w:rPr>
            </w:pPr>
            <w:r w:rsidRPr="00EC04FB">
              <w:rPr>
                <w:rFonts w:asciiTheme="minorHAnsi" w:hAnsiTheme="minorHAnsi" w:cstheme="minorHAnsi"/>
                <w:b/>
                <w:bCs/>
                <w:color w:val="000000"/>
                <w:sz w:val="22"/>
                <w:szCs w:val="22"/>
              </w:rPr>
              <w:t>TOTAL</w:t>
            </w:r>
          </w:p>
        </w:tc>
        <w:tc>
          <w:tcPr>
            <w:tcW w:w="2994" w:type="dxa"/>
            <w:tcBorders>
              <w:top w:val="single" w:sz="8" w:space="0" w:color="auto"/>
              <w:left w:val="nil"/>
              <w:bottom w:val="single" w:sz="8" w:space="0" w:color="auto"/>
              <w:right w:val="single" w:sz="4" w:space="0" w:color="auto"/>
            </w:tcBorders>
            <w:noWrap/>
            <w:vAlign w:val="center"/>
          </w:tcPr>
          <w:p w14:paraId="07E00F6C" w14:textId="12F70F37" w:rsidR="004D3209" w:rsidRPr="00EC04FB" w:rsidRDefault="004D3209" w:rsidP="00EC04FB">
            <w:pPr>
              <w:bidi w:val="0"/>
              <w:jc w:val="center"/>
              <w:rPr>
                <w:rFonts w:asciiTheme="minorHAnsi" w:hAnsiTheme="minorHAnsi" w:cstheme="minorHAnsi"/>
                <w:b/>
                <w:bCs/>
                <w:color w:val="000000"/>
                <w:sz w:val="22"/>
                <w:szCs w:val="22"/>
              </w:rPr>
            </w:pPr>
            <w:r w:rsidRPr="00EC04FB">
              <w:rPr>
                <w:rFonts w:asciiTheme="minorHAnsi" w:hAnsiTheme="minorHAnsi" w:cstheme="minorHAnsi"/>
                <w:b/>
                <w:bCs/>
                <w:sz w:val="22"/>
                <w:szCs w:val="22"/>
              </w:rPr>
              <w:t>332</w:t>
            </w:r>
            <w:r w:rsidR="009321FA" w:rsidRPr="00EC04FB">
              <w:rPr>
                <w:rFonts w:asciiTheme="minorHAnsi" w:hAnsiTheme="minorHAnsi" w:cstheme="minorHAnsi"/>
                <w:b/>
                <w:bCs/>
                <w:sz w:val="22"/>
                <w:szCs w:val="22"/>
              </w:rPr>
              <w:t>,</w:t>
            </w:r>
            <w:r w:rsidRPr="00EC04FB">
              <w:rPr>
                <w:rFonts w:asciiTheme="minorHAnsi" w:hAnsiTheme="minorHAnsi" w:cstheme="minorHAnsi"/>
                <w:b/>
                <w:bCs/>
                <w:sz w:val="22"/>
                <w:szCs w:val="22"/>
              </w:rPr>
              <w:t>487</w:t>
            </w:r>
          </w:p>
        </w:tc>
        <w:tc>
          <w:tcPr>
            <w:tcW w:w="3481" w:type="dxa"/>
            <w:tcBorders>
              <w:top w:val="single" w:sz="8" w:space="0" w:color="auto"/>
              <w:left w:val="nil"/>
              <w:bottom w:val="single" w:sz="8" w:space="0" w:color="auto"/>
              <w:right w:val="single" w:sz="8" w:space="0" w:color="auto"/>
            </w:tcBorders>
            <w:noWrap/>
            <w:vAlign w:val="center"/>
          </w:tcPr>
          <w:p w14:paraId="39BC4D9E" w14:textId="2AB2A3AE" w:rsidR="004D3209" w:rsidRPr="003078DE" w:rsidRDefault="004D3209" w:rsidP="00EC04FB">
            <w:pPr>
              <w:bidi w:val="0"/>
              <w:jc w:val="center"/>
              <w:rPr>
                <w:rFonts w:asciiTheme="minorHAnsi" w:hAnsiTheme="minorHAnsi" w:cstheme="minorHAnsi"/>
                <w:b/>
                <w:bCs/>
                <w:color w:val="000000"/>
                <w:sz w:val="22"/>
                <w:szCs w:val="22"/>
              </w:rPr>
            </w:pPr>
            <w:r w:rsidRPr="003078DE">
              <w:rPr>
                <w:rFonts w:ascii="Calibri" w:hAnsi="Calibri" w:cs="Calibri"/>
                <w:b/>
                <w:bCs/>
                <w:color w:val="000000"/>
                <w:sz w:val="22"/>
                <w:szCs w:val="22"/>
              </w:rPr>
              <w:t>12</w:t>
            </w:r>
            <w:r w:rsidR="009321FA" w:rsidRPr="003078DE">
              <w:rPr>
                <w:rFonts w:ascii="Calibri" w:hAnsi="Calibri" w:cs="Calibri"/>
                <w:b/>
                <w:bCs/>
                <w:color w:val="000000"/>
                <w:sz w:val="22"/>
                <w:szCs w:val="22"/>
              </w:rPr>
              <w:t>,</w:t>
            </w:r>
            <w:r w:rsidRPr="003078DE">
              <w:rPr>
                <w:rFonts w:ascii="Calibri" w:hAnsi="Calibri" w:cs="Calibri"/>
                <w:b/>
                <w:bCs/>
                <w:color w:val="000000"/>
                <w:sz w:val="22"/>
                <w:szCs w:val="22"/>
              </w:rPr>
              <w:t>680</w:t>
            </w:r>
          </w:p>
        </w:tc>
      </w:tr>
    </w:tbl>
    <w:p w14:paraId="3547AEBA" w14:textId="77777777" w:rsidR="00A22865" w:rsidRPr="00DE68A1" w:rsidRDefault="00A22865" w:rsidP="00CA18DA">
      <w:pPr>
        <w:pStyle w:val="BodyText"/>
        <w:rPr>
          <w:b/>
        </w:rPr>
      </w:pPr>
    </w:p>
    <w:p w14:paraId="51BE36D4" w14:textId="42CFB460" w:rsidR="00E039A9" w:rsidRPr="00DE68A1" w:rsidRDefault="00E039A9" w:rsidP="00CA18DA">
      <w:pPr>
        <w:pStyle w:val="BodyText"/>
        <w:rPr>
          <w:b/>
          <w:rtl/>
        </w:rPr>
      </w:pPr>
      <w:r w:rsidRPr="00DE68A1">
        <w:rPr>
          <w:b/>
        </w:rPr>
        <w:t xml:space="preserve">Market Risk Management: </w:t>
      </w:r>
    </w:p>
    <w:p w14:paraId="094A512A" w14:textId="77777777" w:rsidR="00E039A9" w:rsidRPr="00DE68A1" w:rsidRDefault="00E039A9" w:rsidP="00E039A9">
      <w:pPr>
        <w:pStyle w:val="BodyText"/>
      </w:pPr>
    </w:p>
    <w:p w14:paraId="5AFB1C31" w14:textId="4C2F63F3" w:rsidR="00A62E85" w:rsidRPr="00DE68A1" w:rsidRDefault="00E82D04" w:rsidP="00A22865">
      <w:pPr>
        <w:bidi w:val="0"/>
        <w:spacing w:after="200" w:line="276" w:lineRule="auto"/>
        <w:jc w:val="both"/>
        <w:rPr>
          <w:rFonts w:eastAsia="Calibri"/>
        </w:rPr>
      </w:pPr>
      <w:r w:rsidRPr="00DE68A1">
        <w:rPr>
          <w:rFonts w:eastAsia="Calibri"/>
        </w:rPr>
        <w:t xml:space="preserve">Market Risk is the risk that the Bank’s earnings or capital, or its ability to meet business objectives, will be adversely affected by changes in the level or volatility of market rates or prices such as interest rates, credit spreads, commodity prices, equity prices and foreign exchange rates. </w:t>
      </w:r>
      <w:r w:rsidR="00E039A9" w:rsidRPr="00DE68A1">
        <w:rPr>
          <w:rFonts w:eastAsia="Calibri"/>
        </w:rPr>
        <w:t>This risk is inherent in the financial instruments associated with our operations and/or activities including loans granted at commercial rates, deposits, securities and trading account assets, and derivatives.</w:t>
      </w:r>
      <w:r w:rsidRPr="00DE68A1">
        <w:rPr>
          <w:rFonts w:eastAsia="Calibri"/>
        </w:rPr>
        <w:t xml:space="preserve"> The majority of market risk exposure resides in the Bank’s treasury and investment </w:t>
      </w:r>
      <w:r w:rsidR="008D774B" w:rsidRPr="00DE68A1">
        <w:rPr>
          <w:rFonts w:eastAsia="Calibri"/>
        </w:rPr>
        <w:t>department</w:t>
      </w:r>
      <w:r w:rsidRPr="00DE68A1">
        <w:rPr>
          <w:rFonts w:eastAsia="Calibri"/>
        </w:rPr>
        <w:t>s and market risk through the local equity holdings of the Bank’s subsidiary KIPCO</w:t>
      </w:r>
      <w:r w:rsidR="006A12FE" w:rsidRPr="00DE68A1">
        <w:rPr>
          <w:rFonts w:eastAsia="Calibri"/>
        </w:rPr>
        <w:t xml:space="preserve"> which are passive AFS holdings</w:t>
      </w:r>
      <w:r w:rsidRPr="00DE68A1">
        <w:rPr>
          <w:rFonts w:eastAsia="Calibri"/>
        </w:rPr>
        <w:t>. IBK Risk Management’s market risk objectives are to:</w:t>
      </w:r>
    </w:p>
    <w:p w14:paraId="29902E7E" w14:textId="3205983F" w:rsidR="00A62E85" w:rsidRPr="00DE68A1" w:rsidRDefault="00E82D04" w:rsidP="001D2EA5">
      <w:pPr>
        <w:pStyle w:val="BodyText"/>
        <w:numPr>
          <w:ilvl w:val="0"/>
          <w:numId w:val="16"/>
        </w:numPr>
        <w:spacing w:line="276" w:lineRule="auto"/>
      </w:pPr>
      <w:r w:rsidRPr="00DE68A1">
        <w:t>Understand and control market risk by robust measurement and the setting of limits and</w:t>
      </w:r>
      <w:r w:rsidR="00CA18DA" w:rsidRPr="00DE68A1">
        <w:t xml:space="preserve"> </w:t>
      </w:r>
      <w:r w:rsidRPr="00DE68A1">
        <w:t>monitoring of the same.</w:t>
      </w:r>
      <w:r w:rsidR="00A62E85" w:rsidRPr="00DE68A1">
        <w:t xml:space="preserve"> </w:t>
      </w:r>
    </w:p>
    <w:p w14:paraId="10B72FCC" w14:textId="2449E630" w:rsidR="00A62E85" w:rsidRPr="00DE68A1" w:rsidRDefault="00A62E85" w:rsidP="001D2EA5">
      <w:pPr>
        <w:pStyle w:val="BodyText"/>
        <w:numPr>
          <w:ilvl w:val="0"/>
          <w:numId w:val="16"/>
        </w:numPr>
        <w:spacing w:line="276" w:lineRule="auto"/>
      </w:pPr>
      <w:r w:rsidRPr="00DE68A1">
        <w:t>Ensuring accuracy in the deal/settlement process</w:t>
      </w:r>
    </w:p>
    <w:p w14:paraId="5EB166AC" w14:textId="77777777" w:rsidR="00CA18DA" w:rsidRPr="00DE68A1" w:rsidRDefault="00E82D04" w:rsidP="001D2EA5">
      <w:pPr>
        <w:pStyle w:val="BodyText"/>
        <w:numPr>
          <w:ilvl w:val="0"/>
          <w:numId w:val="16"/>
        </w:numPr>
        <w:spacing w:line="276" w:lineRule="auto"/>
      </w:pPr>
      <w:r w:rsidRPr="00DE68A1">
        <w:t>Facilitate business growth within a controlled and transparent risk management</w:t>
      </w:r>
      <w:r w:rsidR="00CA18DA" w:rsidRPr="00DE68A1">
        <w:t xml:space="preserve">     </w:t>
      </w:r>
    </w:p>
    <w:p w14:paraId="56BCABDA" w14:textId="77777777" w:rsidR="00E82D04" w:rsidRPr="00DE68A1" w:rsidRDefault="00E82D04" w:rsidP="001D2EA5">
      <w:pPr>
        <w:pStyle w:val="BodyText"/>
        <w:spacing w:line="276" w:lineRule="auto"/>
      </w:pPr>
      <w:r w:rsidRPr="00DE68A1">
        <w:lastRenderedPageBreak/>
        <w:t xml:space="preserve">   </w:t>
      </w:r>
      <w:r w:rsidR="00CA18DA" w:rsidRPr="00DE68A1">
        <w:t xml:space="preserve">       </w:t>
      </w:r>
      <w:r w:rsidRPr="00DE68A1">
        <w:t>framework.</w:t>
      </w:r>
    </w:p>
    <w:p w14:paraId="34860CA7" w14:textId="77777777" w:rsidR="00E82D04" w:rsidRPr="00DE68A1" w:rsidRDefault="00E82D04" w:rsidP="001D2EA5">
      <w:pPr>
        <w:pStyle w:val="BodyText"/>
        <w:numPr>
          <w:ilvl w:val="0"/>
          <w:numId w:val="17"/>
        </w:numPr>
        <w:spacing w:line="276" w:lineRule="auto"/>
      </w:pPr>
      <w:r w:rsidRPr="00DE68A1">
        <w:t>Measure and report non-traded market risk.</w:t>
      </w:r>
    </w:p>
    <w:p w14:paraId="15A02488" w14:textId="77777777" w:rsidR="00A62E85" w:rsidRPr="00DE68A1" w:rsidRDefault="00A62E85" w:rsidP="00A62E85">
      <w:pPr>
        <w:pStyle w:val="BodyText"/>
      </w:pPr>
    </w:p>
    <w:p w14:paraId="3BA64249" w14:textId="77777777" w:rsidR="00E039A9" w:rsidRPr="00DE68A1" w:rsidRDefault="00E039A9" w:rsidP="007A7387">
      <w:pPr>
        <w:bidi w:val="0"/>
        <w:spacing w:after="200" w:line="276" w:lineRule="auto"/>
        <w:jc w:val="both"/>
        <w:rPr>
          <w:rFonts w:eastAsia="Calibri"/>
        </w:rPr>
      </w:pPr>
      <w:r w:rsidRPr="00DE68A1">
        <w:rPr>
          <w:rFonts w:eastAsia="Calibri"/>
        </w:rPr>
        <w:t xml:space="preserve">Market risk for the Bank is relatively limited as, except for managing an FX book for its own account and its local industrial customers, and in rare cases using derivatives for hedging purposes, the Bank does not expose itself significantly to market risks. Appropriate limits have been established and </w:t>
      </w:r>
      <w:smartTag w:uri="urn:schemas-microsoft-com:office:smarttags" w:element="PersonName">
        <w:r w:rsidRPr="00DE68A1">
          <w:rPr>
            <w:rFonts w:eastAsia="Calibri"/>
          </w:rPr>
          <w:t>treasury</w:t>
        </w:r>
      </w:smartTag>
      <w:r w:rsidRPr="00DE68A1">
        <w:rPr>
          <w:rFonts w:eastAsia="Calibri"/>
        </w:rPr>
        <w:t xml:space="preserve"> and investment activities are constantly monitored.</w:t>
      </w:r>
    </w:p>
    <w:p w14:paraId="7449ABEE" w14:textId="77777777" w:rsidR="00E039A9" w:rsidRPr="00DE68A1" w:rsidRDefault="00E039A9" w:rsidP="00E039A9">
      <w:pPr>
        <w:pStyle w:val="BodyText"/>
      </w:pPr>
    </w:p>
    <w:p w14:paraId="4955B941" w14:textId="1F50B8C8" w:rsidR="00E039A9" w:rsidRPr="00DE68A1" w:rsidRDefault="00E039A9" w:rsidP="007A7387">
      <w:pPr>
        <w:bidi w:val="0"/>
        <w:spacing w:after="200" w:line="276" w:lineRule="auto"/>
        <w:jc w:val="both"/>
        <w:rPr>
          <w:rFonts w:eastAsia="Calibri"/>
        </w:rPr>
      </w:pPr>
      <w:r w:rsidRPr="00DE68A1">
        <w:rPr>
          <w:rFonts w:eastAsia="Calibri"/>
        </w:rPr>
        <w:t xml:space="preserve">The focus at IBK is on industrial lending and on corporate banking. The Bank has a </w:t>
      </w:r>
      <w:r w:rsidR="008D15BF" w:rsidRPr="00DE68A1">
        <w:rPr>
          <w:rFonts w:eastAsia="Calibri"/>
        </w:rPr>
        <w:t>long-term</w:t>
      </w:r>
      <w:r w:rsidRPr="00DE68A1">
        <w:rPr>
          <w:rFonts w:eastAsia="Calibri"/>
        </w:rPr>
        <w:t xml:space="preserve"> investment in its wholly owned subsidiary (KIPCO) which invests in the local market</w:t>
      </w:r>
      <w:r w:rsidR="00E82D04" w:rsidRPr="00DE68A1">
        <w:rPr>
          <w:rFonts w:eastAsia="Calibri"/>
        </w:rPr>
        <w:t xml:space="preserve"> and </w:t>
      </w:r>
      <w:r w:rsidR="00A62E85" w:rsidRPr="00DE68A1">
        <w:rPr>
          <w:rFonts w:eastAsia="Calibri"/>
        </w:rPr>
        <w:t>has a non-traded Kuwaiti equity portfolio</w:t>
      </w:r>
      <w:r w:rsidRPr="00DE68A1">
        <w:rPr>
          <w:rFonts w:eastAsia="Calibri"/>
        </w:rPr>
        <w:t xml:space="preserve">. There is also an international component in the Bank’s equity book which is invested in start-up ventures through reputed international managers. These investments are of </w:t>
      </w:r>
      <w:r w:rsidR="008D15BF" w:rsidRPr="00DE68A1">
        <w:rPr>
          <w:rFonts w:eastAsia="Calibri"/>
        </w:rPr>
        <w:t>long-term</w:t>
      </w:r>
      <w:r w:rsidRPr="00DE68A1">
        <w:rPr>
          <w:rFonts w:eastAsia="Calibri"/>
        </w:rPr>
        <w:t xml:space="preserve"> nature and are exposed to the downside risk of direct equity investments. These investments are diversified and individual investments are capped within limits.  The Bank is not actively involved in equity or bond trading, trading in derivative products, options, commodities or most of the other market risk generating activities that commercial/investment banks usually engage in. </w:t>
      </w:r>
    </w:p>
    <w:p w14:paraId="78B0CCC0" w14:textId="77777777" w:rsidR="00E039A9" w:rsidRPr="00DE68A1" w:rsidRDefault="00E039A9" w:rsidP="00E039A9">
      <w:pPr>
        <w:pStyle w:val="BodyText"/>
      </w:pPr>
    </w:p>
    <w:p w14:paraId="31ABCF4C" w14:textId="03813102" w:rsidR="00CA18DA" w:rsidRPr="00DE68A1" w:rsidRDefault="00E039A9" w:rsidP="007A7387">
      <w:pPr>
        <w:bidi w:val="0"/>
        <w:spacing w:after="200" w:line="276" w:lineRule="auto"/>
        <w:jc w:val="both"/>
        <w:rPr>
          <w:rFonts w:eastAsia="Calibri"/>
        </w:rPr>
      </w:pPr>
      <w:r w:rsidRPr="00DE68A1">
        <w:rPr>
          <w:rFonts w:eastAsia="Calibri"/>
        </w:rPr>
        <w:t xml:space="preserve">Market risk is monitored taking into consideration market analysis, market liquidity, business strategy and dealer experience. The Bank has limits on investment size, country, and counterparty exposure as well as on open positions by dealers and for the Bank as a whole.  These limits help to reduce the absolute </w:t>
      </w:r>
      <w:r w:rsidR="00F261F9" w:rsidRPr="00DE68A1">
        <w:rPr>
          <w:rFonts w:eastAsia="Calibri"/>
        </w:rPr>
        <w:t>amount</w:t>
      </w:r>
      <w:r w:rsidRPr="00DE68A1">
        <w:rPr>
          <w:rFonts w:eastAsia="Calibri"/>
        </w:rPr>
        <w:t xml:space="preserve"> of market risk. In addition, the Bank has established stop-loss limits for certain activities involving market risk.</w:t>
      </w:r>
    </w:p>
    <w:p w14:paraId="504CB6A6" w14:textId="20BC5DA8" w:rsidR="00FC0E27" w:rsidRPr="00DE68A1" w:rsidRDefault="00CC5906" w:rsidP="003E51D4">
      <w:pPr>
        <w:bidi w:val="0"/>
        <w:spacing w:after="200" w:line="276" w:lineRule="auto"/>
        <w:jc w:val="both"/>
        <w:rPr>
          <w:rFonts w:ascii="Arial" w:hAnsi="Arial" w:cs="Arial"/>
          <w:b/>
          <w:bCs/>
          <w:sz w:val="20"/>
          <w:szCs w:val="20"/>
        </w:rPr>
      </w:pPr>
      <w:r w:rsidRPr="00DE68A1">
        <w:rPr>
          <w:rFonts w:eastAsia="Calibri"/>
          <w:b/>
          <w:bCs/>
        </w:rPr>
        <w:t>M</w:t>
      </w:r>
      <w:r w:rsidR="00131B91" w:rsidRPr="00DE68A1">
        <w:rPr>
          <w:rFonts w:eastAsia="Calibri"/>
          <w:b/>
          <w:bCs/>
        </w:rPr>
        <w:t>arket risk for trading portfolio</w:t>
      </w:r>
      <w:r w:rsidRPr="00DE68A1">
        <w:rPr>
          <w:rFonts w:eastAsia="Calibri"/>
          <w:b/>
          <w:bCs/>
        </w:rPr>
        <w:t xml:space="preserve"> and </w:t>
      </w:r>
      <w:r w:rsidR="00131B91" w:rsidRPr="00DE68A1">
        <w:rPr>
          <w:rFonts w:eastAsia="Calibri"/>
          <w:b/>
          <w:bCs/>
        </w:rPr>
        <w:t>foreign exchange exposures</w:t>
      </w:r>
      <w:r w:rsidR="00F261F9" w:rsidRPr="00DE68A1">
        <w:rPr>
          <w:rFonts w:eastAsia="Calibri"/>
          <w:b/>
          <w:bCs/>
        </w:rPr>
        <w:t>:</w:t>
      </w:r>
      <w:r w:rsidR="00F261F9" w:rsidRPr="00DE68A1">
        <w:rPr>
          <w:rFonts w:eastAsia="Calibri"/>
        </w:rPr>
        <w:t xml:space="preserve"> The</w:t>
      </w:r>
      <w:r w:rsidR="00964CE1" w:rsidRPr="00DE68A1">
        <w:rPr>
          <w:rFonts w:eastAsia="Calibri"/>
        </w:rPr>
        <w:t xml:space="preserve"> Bank </w:t>
      </w:r>
      <w:r w:rsidR="006A12FE" w:rsidRPr="00DE68A1">
        <w:rPr>
          <w:rFonts w:eastAsia="Calibri"/>
        </w:rPr>
        <w:t xml:space="preserve">currently </w:t>
      </w:r>
      <w:r w:rsidR="00964CE1" w:rsidRPr="00DE68A1">
        <w:rPr>
          <w:rFonts w:eastAsia="Calibri"/>
        </w:rPr>
        <w:t>does not have a proprietary trading portfolio of any significance in foreign exchange or money market</w:t>
      </w:r>
      <w:r w:rsidR="00F85D94" w:rsidRPr="00DE68A1">
        <w:rPr>
          <w:rFonts w:eastAsia="Calibri"/>
        </w:rPr>
        <w:t xml:space="preserve"> instruments. It does not have derivative trading exposures or exposures in commodities.</w:t>
      </w:r>
      <w:r w:rsidR="00F20BB6" w:rsidRPr="00DE68A1">
        <w:rPr>
          <w:rFonts w:eastAsia="Calibri"/>
        </w:rPr>
        <w:t xml:space="preserve"> However, all forward foreign exchange swap positions</w:t>
      </w:r>
      <w:r w:rsidR="00033233" w:rsidRPr="00DE68A1">
        <w:rPr>
          <w:rFonts w:eastAsia="Calibri"/>
        </w:rPr>
        <w:t xml:space="preserve">, used for hedging Bank’s position </w:t>
      </w:r>
      <w:r w:rsidR="00F20BB6" w:rsidRPr="00DE68A1">
        <w:rPr>
          <w:rFonts w:eastAsia="Calibri"/>
        </w:rPr>
        <w:t>have been considered as part of derivative exposures</w:t>
      </w:r>
      <w:r w:rsidR="0098299E" w:rsidRPr="00DE68A1">
        <w:rPr>
          <w:rFonts w:eastAsia="Calibri"/>
        </w:rPr>
        <w:t>.</w:t>
      </w:r>
      <w:r w:rsidR="00C2501E" w:rsidRPr="00DE68A1">
        <w:rPr>
          <w:rFonts w:ascii="Arial" w:hAnsi="Arial" w:cs="Arial"/>
          <w:b/>
          <w:bCs/>
          <w:sz w:val="20"/>
          <w:szCs w:val="20"/>
        </w:rPr>
        <w:t xml:space="preserve">        </w:t>
      </w:r>
    </w:p>
    <w:p w14:paraId="0238186E" w14:textId="3ADB26F9" w:rsidR="00C2501E" w:rsidRPr="00DE68A1" w:rsidRDefault="00C2501E" w:rsidP="009752F0">
      <w:pPr>
        <w:bidi w:val="0"/>
        <w:rPr>
          <w:rFonts w:ascii="Arial" w:hAnsi="Arial" w:cs="Arial"/>
          <w:b/>
          <w:bCs/>
          <w:sz w:val="20"/>
          <w:szCs w:val="20"/>
        </w:rPr>
      </w:pPr>
      <w:r w:rsidRPr="00DE68A1">
        <w:rPr>
          <w:rFonts w:ascii="Arial" w:hAnsi="Arial" w:cs="Arial"/>
          <w:b/>
          <w:bCs/>
          <w:sz w:val="20"/>
          <w:szCs w:val="20"/>
        </w:rPr>
        <w:t>Market Risk</w:t>
      </w:r>
    </w:p>
    <w:p w14:paraId="3D0DEEEE" w14:textId="77777777" w:rsidR="00781E76" w:rsidRPr="00DE68A1" w:rsidRDefault="00781E76" w:rsidP="00781E76">
      <w:pPr>
        <w:bidi w:val="0"/>
        <w:rPr>
          <w:b/>
          <w:iCs/>
        </w:rPr>
      </w:pPr>
    </w:p>
    <w:tbl>
      <w:tblPr>
        <w:tblW w:w="7639" w:type="dxa"/>
        <w:tblInd w:w="566" w:type="dxa"/>
        <w:tblLook w:val="04A0" w:firstRow="1" w:lastRow="0" w:firstColumn="1" w:lastColumn="0" w:noHBand="0" w:noVBand="1"/>
      </w:tblPr>
      <w:tblGrid>
        <w:gridCol w:w="2037"/>
        <w:gridCol w:w="2271"/>
        <w:gridCol w:w="3331"/>
      </w:tblGrid>
      <w:tr w:rsidR="007D5D50" w:rsidRPr="00DE68A1" w14:paraId="3C378F6D" w14:textId="77777777" w:rsidTr="001D2EA5">
        <w:trPr>
          <w:trHeight w:val="116"/>
        </w:trPr>
        <w:tc>
          <w:tcPr>
            <w:tcW w:w="7639" w:type="dxa"/>
            <w:gridSpan w:val="3"/>
            <w:tcBorders>
              <w:top w:val="single" w:sz="8" w:space="0" w:color="auto"/>
              <w:left w:val="single" w:sz="8" w:space="0" w:color="auto"/>
              <w:bottom w:val="single" w:sz="4" w:space="0" w:color="auto"/>
              <w:right w:val="single" w:sz="8" w:space="0" w:color="000000"/>
            </w:tcBorders>
            <w:shd w:val="clear" w:color="000000" w:fill="002060"/>
            <w:noWrap/>
            <w:vAlign w:val="bottom"/>
            <w:hideMark/>
          </w:tcPr>
          <w:p w14:paraId="723A28AE" w14:textId="34C33A2F" w:rsidR="00B51A7E" w:rsidRPr="00DE68A1" w:rsidRDefault="00B51A7E" w:rsidP="009752F0">
            <w:pPr>
              <w:bidi w:val="0"/>
              <w:jc w:val="center"/>
              <w:rPr>
                <w:rFonts w:ascii="Calibri" w:hAnsi="Calibri"/>
                <w:b/>
                <w:bCs/>
                <w:color w:val="FFFFFF"/>
                <w:sz w:val="18"/>
                <w:szCs w:val="18"/>
              </w:rPr>
            </w:pPr>
            <w:r w:rsidRPr="00DE68A1">
              <w:rPr>
                <w:rFonts w:ascii="Calibri" w:hAnsi="Calibri"/>
                <w:b/>
                <w:bCs/>
                <w:color w:val="FFFFFF"/>
                <w:sz w:val="18"/>
                <w:szCs w:val="18"/>
              </w:rPr>
              <w:t>Industrial Bank of Kuwait</w:t>
            </w:r>
          </w:p>
        </w:tc>
      </w:tr>
      <w:tr w:rsidR="007D5D50" w:rsidRPr="00DE68A1" w14:paraId="45518677" w14:textId="77777777" w:rsidTr="001D2EA5">
        <w:trPr>
          <w:trHeight w:val="116"/>
        </w:trPr>
        <w:tc>
          <w:tcPr>
            <w:tcW w:w="7639" w:type="dxa"/>
            <w:gridSpan w:val="3"/>
            <w:tcBorders>
              <w:top w:val="single" w:sz="4" w:space="0" w:color="auto"/>
              <w:left w:val="single" w:sz="8" w:space="0" w:color="auto"/>
              <w:bottom w:val="single" w:sz="4" w:space="0" w:color="auto"/>
              <w:right w:val="single" w:sz="8" w:space="0" w:color="000000"/>
            </w:tcBorders>
            <w:shd w:val="clear" w:color="000000" w:fill="002060"/>
            <w:noWrap/>
            <w:vAlign w:val="bottom"/>
            <w:hideMark/>
          </w:tcPr>
          <w:p w14:paraId="3A8617F3" w14:textId="6C0812EE" w:rsidR="00B51A7E" w:rsidRPr="00DE68A1" w:rsidRDefault="00B51A7E" w:rsidP="0073032A">
            <w:pPr>
              <w:bidi w:val="0"/>
              <w:jc w:val="center"/>
              <w:rPr>
                <w:rFonts w:ascii="Calibri" w:hAnsi="Calibri"/>
                <w:b/>
                <w:bCs/>
                <w:color w:val="FFFFFF"/>
                <w:sz w:val="18"/>
                <w:szCs w:val="18"/>
              </w:rPr>
            </w:pPr>
            <w:r w:rsidRPr="00DE68A1">
              <w:rPr>
                <w:rFonts w:ascii="Calibri" w:hAnsi="Calibri"/>
                <w:b/>
                <w:bCs/>
                <w:color w:val="FFFFFF"/>
                <w:sz w:val="18"/>
                <w:szCs w:val="18"/>
              </w:rPr>
              <w:t xml:space="preserve">Disclosure on Market Risk - Capital Requirements as </w:t>
            </w:r>
            <w:r w:rsidR="007655CB" w:rsidRPr="00DE68A1">
              <w:rPr>
                <w:rFonts w:ascii="Calibri" w:hAnsi="Calibri"/>
                <w:b/>
                <w:bCs/>
                <w:color w:val="FFFFFF"/>
                <w:sz w:val="18"/>
                <w:szCs w:val="18"/>
              </w:rPr>
              <w:t>of</w:t>
            </w:r>
            <w:r w:rsidRPr="00DE68A1">
              <w:rPr>
                <w:rFonts w:ascii="Calibri" w:hAnsi="Calibri"/>
                <w:b/>
                <w:bCs/>
                <w:color w:val="FFFFFF"/>
                <w:sz w:val="18"/>
                <w:szCs w:val="18"/>
              </w:rPr>
              <w:t xml:space="preserve"> 31.12.</w:t>
            </w:r>
            <w:r w:rsidR="00E01875" w:rsidRPr="00DE68A1">
              <w:rPr>
                <w:rFonts w:ascii="Calibri" w:hAnsi="Calibri"/>
                <w:b/>
                <w:bCs/>
                <w:color w:val="FFFFFF"/>
                <w:sz w:val="18"/>
                <w:szCs w:val="18"/>
              </w:rPr>
              <w:t>202</w:t>
            </w:r>
            <w:r w:rsidR="009B3450" w:rsidRPr="00DE68A1">
              <w:rPr>
                <w:rFonts w:ascii="Calibri" w:hAnsi="Calibri"/>
                <w:b/>
                <w:bCs/>
                <w:color w:val="FFFFFF"/>
                <w:sz w:val="18"/>
                <w:szCs w:val="18"/>
              </w:rPr>
              <w:t>5</w:t>
            </w:r>
            <w:r w:rsidR="0073032A" w:rsidRPr="00DE68A1">
              <w:rPr>
                <w:rFonts w:ascii="Calibri" w:hAnsi="Calibri"/>
                <w:b/>
                <w:bCs/>
                <w:color w:val="FFFFFF"/>
                <w:sz w:val="18"/>
                <w:szCs w:val="18"/>
              </w:rPr>
              <w:t xml:space="preserve"> </w:t>
            </w:r>
            <w:r w:rsidR="009752F0" w:rsidRPr="00DE68A1">
              <w:rPr>
                <w:rFonts w:ascii="Calibri" w:hAnsi="Calibri"/>
                <w:b/>
                <w:bCs/>
                <w:color w:val="FFFFFF"/>
                <w:sz w:val="18"/>
                <w:szCs w:val="18"/>
              </w:rPr>
              <w:t>(All figures in KD '000)</w:t>
            </w:r>
          </w:p>
        </w:tc>
      </w:tr>
      <w:tr w:rsidR="007D5D50" w:rsidRPr="00DE68A1" w14:paraId="4D077FCA" w14:textId="77777777" w:rsidTr="001D2EA5">
        <w:trPr>
          <w:trHeight w:val="116"/>
        </w:trPr>
        <w:tc>
          <w:tcPr>
            <w:tcW w:w="2037" w:type="dxa"/>
            <w:tcBorders>
              <w:top w:val="nil"/>
              <w:left w:val="single" w:sz="8" w:space="0" w:color="auto"/>
              <w:bottom w:val="single" w:sz="4" w:space="0" w:color="auto"/>
              <w:right w:val="single" w:sz="4" w:space="0" w:color="auto"/>
            </w:tcBorders>
            <w:shd w:val="clear" w:color="000000" w:fill="002060"/>
            <w:noWrap/>
            <w:vAlign w:val="bottom"/>
            <w:hideMark/>
          </w:tcPr>
          <w:p w14:paraId="63A05E1E" w14:textId="77777777" w:rsidR="00B51A7E" w:rsidRPr="00DE68A1" w:rsidRDefault="00B51A7E">
            <w:pPr>
              <w:bidi w:val="0"/>
              <w:rPr>
                <w:rFonts w:ascii="Calibri" w:hAnsi="Calibri"/>
                <w:b/>
                <w:bCs/>
                <w:color w:val="FFFFFF"/>
                <w:sz w:val="18"/>
                <w:szCs w:val="18"/>
              </w:rPr>
            </w:pPr>
            <w:r w:rsidRPr="00DE68A1">
              <w:rPr>
                <w:rFonts w:ascii="Calibri" w:hAnsi="Calibri"/>
                <w:b/>
                <w:bCs/>
                <w:color w:val="FFFFFF"/>
                <w:sz w:val="18"/>
                <w:szCs w:val="18"/>
              </w:rPr>
              <w:t>Type of Risk</w:t>
            </w:r>
          </w:p>
        </w:tc>
        <w:tc>
          <w:tcPr>
            <w:tcW w:w="2271" w:type="dxa"/>
            <w:tcBorders>
              <w:top w:val="nil"/>
              <w:left w:val="nil"/>
              <w:bottom w:val="single" w:sz="4" w:space="0" w:color="auto"/>
              <w:right w:val="single" w:sz="4" w:space="0" w:color="auto"/>
            </w:tcBorders>
            <w:shd w:val="clear" w:color="000000" w:fill="002060"/>
            <w:noWrap/>
            <w:vAlign w:val="bottom"/>
            <w:hideMark/>
          </w:tcPr>
          <w:p w14:paraId="1A478B67" w14:textId="77777777" w:rsidR="00B51A7E" w:rsidRPr="00DE68A1" w:rsidRDefault="00B51A7E">
            <w:pPr>
              <w:bidi w:val="0"/>
              <w:rPr>
                <w:rFonts w:ascii="Calibri" w:hAnsi="Calibri"/>
                <w:b/>
                <w:bCs/>
                <w:color w:val="FFFFFF"/>
                <w:sz w:val="18"/>
                <w:szCs w:val="18"/>
              </w:rPr>
            </w:pPr>
            <w:r w:rsidRPr="00DE68A1">
              <w:rPr>
                <w:rFonts w:ascii="Calibri" w:hAnsi="Calibri"/>
                <w:b/>
                <w:bCs/>
                <w:color w:val="FFFFFF"/>
                <w:sz w:val="18"/>
                <w:szCs w:val="18"/>
              </w:rPr>
              <w:t>Risk Weighted Exposure</w:t>
            </w:r>
          </w:p>
        </w:tc>
        <w:tc>
          <w:tcPr>
            <w:tcW w:w="3331" w:type="dxa"/>
            <w:tcBorders>
              <w:top w:val="nil"/>
              <w:left w:val="nil"/>
              <w:bottom w:val="single" w:sz="4" w:space="0" w:color="auto"/>
              <w:right w:val="single" w:sz="8" w:space="0" w:color="auto"/>
            </w:tcBorders>
            <w:shd w:val="clear" w:color="000000" w:fill="002060"/>
            <w:noWrap/>
            <w:vAlign w:val="bottom"/>
            <w:hideMark/>
          </w:tcPr>
          <w:p w14:paraId="45BBB47A" w14:textId="77777777" w:rsidR="00B51A7E" w:rsidRPr="00DE68A1" w:rsidRDefault="00B51A7E">
            <w:pPr>
              <w:bidi w:val="0"/>
              <w:rPr>
                <w:rFonts w:ascii="Calibri" w:hAnsi="Calibri"/>
                <w:b/>
                <w:bCs/>
                <w:color w:val="FFFFFF"/>
                <w:sz w:val="18"/>
                <w:szCs w:val="18"/>
              </w:rPr>
            </w:pPr>
            <w:r w:rsidRPr="00DE68A1">
              <w:rPr>
                <w:rFonts w:ascii="Calibri" w:hAnsi="Calibri"/>
                <w:b/>
                <w:bCs/>
                <w:color w:val="FFFFFF"/>
                <w:sz w:val="18"/>
                <w:szCs w:val="18"/>
              </w:rPr>
              <w:t>Minimum Regulatory Capital Requirement</w:t>
            </w:r>
          </w:p>
        </w:tc>
      </w:tr>
      <w:tr w:rsidR="004D3209" w:rsidRPr="00DE68A1" w14:paraId="08ABD2CF" w14:textId="77777777" w:rsidTr="001D2EA5">
        <w:trPr>
          <w:trHeight w:val="116"/>
        </w:trPr>
        <w:tc>
          <w:tcPr>
            <w:tcW w:w="2037" w:type="dxa"/>
            <w:tcBorders>
              <w:top w:val="nil"/>
              <w:left w:val="single" w:sz="8" w:space="0" w:color="auto"/>
              <w:bottom w:val="single" w:sz="4" w:space="0" w:color="auto"/>
              <w:right w:val="single" w:sz="4" w:space="0" w:color="auto"/>
            </w:tcBorders>
            <w:noWrap/>
            <w:vAlign w:val="bottom"/>
            <w:hideMark/>
          </w:tcPr>
          <w:p w14:paraId="33BE4F8F" w14:textId="77777777" w:rsidR="004D3209" w:rsidRPr="00895341" w:rsidRDefault="004D3209" w:rsidP="004D3209">
            <w:pPr>
              <w:bidi w:val="0"/>
              <w:rPr>
                <w:rFonts w:ascii="Calibri" w:hAnsi="Calibri"/>
                <w:color w:val="000000"/>
                <w:sz w:val="22"/>
                <w:szCs w:val="22"/>
              </w:rPr>
            </w:pPr>
            <w:r w:rsidRPr="00895341">
              <w:rPr>
                <w:rFonts w:ascii="Calibri" w:hAnsi="Calibri"/>
                <w:color w:val="000000"/>
                <w:sz w:val="22"/>
                <w:szCs w:val="22"/>
              </w:rPr>
              <w:t>Interest Rate Risk</w:t>
            </w:r>
          </w:p>
        </w:tc>
        <w:tc>
          <w:tcPr>
            <w:tcW w:w="2271" w:type="dxa"/>
            <w:tcBorders>
              <w:top w:val="nil"/>
              <w:left w:val="nil"/>
              <w:bottom w:val="single" w:sz="4" w:space="0" w:color="auto"/>
              <w:right w:val="single" w:sz="4" w:space="0" w:color="auto"/>
            </w:tcBorders>
            <w:noWrap/>
            <w:vAlign w:val="bottom"/>
            <w:hideMark/>
          </w:tcPr>
          <w:p w14:paraId="26FEFF5C" w14:textId="27E4A64B" w:rsidR="004D3209" w:rsidRPr="00895341" w:rsidRDefault="004D3209" w:rsidP="004D3209">
            <w:pPr>
              <w:bidi w:val="0"/>
              <w:jc w:val="center"/>
              <w:rPr>
                <w:rFonts w:ascii="Calibri" w:hAnsi="Calibri"/>
                <w:color w:val="000000"/>
                <w:sz w:val="22"/>
                <w:szCs w:val="22"/>
              </w:rPr>
            </w:pPr>
            <w:r w:rsidRPr="00895341">
              <w:rPr>
                <w:rFonts w:ascii="Calibri" w:hAnsi="Calibri" w:cs="Calibri"/>
                <w:color w:val="000000"/>
                <w:sz w:val="22"/>
                <w:szCs w:val="22"/>
              </w:rPr>
              <w:t>0</w:t>
            </w:r>
          </w:p>
        </w:tc>
        <w:tc>
          <w:tcPr>
            <w:tcW w:w="3331" w:type="dxa"/>
            <w:tcBorders>
              <w:top w:val="nil"/>
              <w:left w:val="nil"/>
              <w:bottom w:val="single" w:sz="4" w:space="0" w:color="auto"/>
              <w:right w:val="single" w:sz="8" w:space="0" w:color="auto"/>
            </w:tcBorders>
            <w:noWrap/>
            <w:vAlign w:val="bottom"/>
            <w:hideMark/>
          </w:tcPr>
          <w:p w14:paraId="1F97412B" w14:textId="09CC5AD3" w:rsidR="004D3209" w:rsidRPr="00895341" w:rsidRDefault="004D3209" w:rsidP="004D3209">
            <w:pPr>
              <w:bidi w:val="0"/>
              <w:jc w:val="center"/>
              <w:rPr>
                <w:rFonts w:ascii="Calibri" w:hAnsi="Calibri"/>
                <w:color w:val="000000"/>
                <w:sz w:val="22"/>
                <w:szCs w:val="22"/>
              </w:rPr>
            </w:pPr>
            <w:r w:rsidRPr="00895341">
              <w:rPr>
                <w:rFonts w:ascii="Calibri" w:hAnsi="Calibri" w:cs="Calibri"/>
                <w:color w:val="000000"/>
                <w:sz w:val="22"/>
                <w:szCs w:val="22"/>
              </w:rPr>
              <w:t>0</w:t>
            </w:r>
          </w:p>
        </w:tc>
      </w:tr>
      <w:tr w:rsidR="004D3209" w:rsidRPr="00DE68A1" w14:paraId="3D616F65" w14:textId="77777777" w:rsidTr="001D2EA5">
        <w:trPr>
          <w:trHeight w:val="116"/>
        </w:trPr>
        <w:tc>
          <w:tcPr>
            <w:tcW w:w="2037" w:type="dxa"/>
            <w:tcBorders>
              <w:top w:val="nil"/>
              <w:left w:val="single" w:sz="8" w:space="0" w:color="auto"/>
              <w:bottom w:val="single" w:sz="4" w:space="0" w:color="auto"/>
              <w:right w:val="single" w:sz="4" w:space="0" w:color="auto"/>
            </w:tcBorders>
            <w:noWrap/>
            <w:vAlign w:val="bottom"/>
            <w:hideMark/>
          </w:tcPr>
          <w:p w14:paraId="42C30DEA" w14:textId="77777777" w:rsidR="004D3209" w:rsidRPr="00895341" w:rsidRDefault="004D3209" w:rsidP="004D3209">
            <w:pPr>
              <w:bidi w:val="0"/>
              <w:rPr>
                <w:rFonts w:ascii="Calibri" w:hAnsi="Calibri"/>
                <w:color w:val="000000"/>
                <w:sz w:val="22"/>
                <w:szCs w:val="22"/>
              </w:rPr>
            </w:pPr>
            <w:r w:rsidRPr="00895341">
              <w:rPr>
                <w:rFonts w:ascii="Calibri" w:hAnsi="Calibri"/>
                <w:color w:val="000000"/>
                <w:sz w:val="22"/>
                <w:szCs w:val="22"/>
              </w:rPr>
              <w:t>Equity Position Risk</w:t>
            </w:r>
          </w:p>
        </w:tc>
        <w:tc>
          <w:tcPr>
            <w:tcW w:w="2271" w:type="dxa"/>
            <w:tcBorders>
              <w:top w:val="nil"/>
              <w:left w:val="nil"/>
              <w:bottom w:val="single" w:sz="4" w:space="0" w:color="auto"/>
              <w:right w:val="single" w:sz="4" w:space="0" w:color="auto"/>
            </w:tcBorders>
            <w:noWrap/>
            <w:vAlign w:val="bottom"/>
            <w:hideMark/>
          </w:tcPr>
          <w:p w14:paraId="4FF9A51F" w14:textId="7FC50061" w:rsidR="004D3209" w:rsidRPr="00895341" w:rsidRDefault="004D3209" w:rsidP="004D3209">
            <w:pPr>
              <w:bidi w:val="0"/>
              <w:jc w:val="center"/>
              <w:rPr>
                <w:rFonts w:ascii="Calibri" w:hAnsi="Calibri"/>
                <w:color w:val="000000"/>
                <w:sz w:val="22"/>
                <w:szCs w:val="22"/>
              </w:rPr>
            </w:pPr>
            <w:r w:rsidRPr="00895341">
              <w:rPr>
                <w:rFonts w:ascii="Calibri" w:hAnsi="Calibri" w:cs="Calibri"/>
                <w:color w:val="000000"/>
                <w:sz w:val="22"/>
                <w:szCs w:val="22"/>
              </w:rPr>
              <w:t>0</w:t>
            </w:r>
          </w:p>
        </w:tc>
        <w:tc>
          <w:tcPr>
            <w:tcW w:w="3331" w:type="dxa"/>
            <w:tcBorders>
              <w:top w:val="nil"/>
              <w:left w:val="nil"/>
              <w:bottom w:val="single" w:sz="4" w:space="0" w:color="auto"/>
              <w:right w:val="single" w:sz="8" w:space="0" w:color="auto"/>
            </w:tcBorders>
            <w:noWrap/>
            <w:vAlign w:val="bottom"/>
            <w:hideMark/>
          </w:tcPr>
          <w:p w14:paraId="37406B4E" w14:textId="43AC7E20" w:rsidR="004D3209" w:rsidRPr="00895341" w:rsidRDefault="004D3209" w:rsidP="004D3209">
            <w:pPr>
              <w:bidi w:val="0"/>
              <w:jc w:val="center"/>
              <w:rPr>
                <w:rFonts w:ascii="Calibri" w:hAnsi="Calibri"/>
                <w:color w:val="000000"/>
                <w:sz w:val="22"/>
                <w:szCs w:val="22"/>
              </w:rPr>
            </w:pPr>
            <w:r w:rsidRPr="00895341">
              <w:rPr>
                <w:rFonts w:ascii="Calibri" w:hAnsi="Calibri" w:cs="Calibri"/>
                <w:color w:val="000000"/>
                <w:sz w:val="22"/>
                <w:szCs w:val="22"/>
              </w:rPr>
              <w:t>0</w:t>
            </w:r>
          </w:p>
        </w:tc>
      </w:tr>
      <w:tr w:rsidR="004D3209" w:rsidRPr="00DE68A1" w14:paraId="08721B11" w14:textId="77777777" w:rsidTr="00895341">
        <w:trPr>
          <w:trHeight w:val="116"/>
        </w:trPr>
        <w:tc>
          <w:tcPr>
            <w:tcW w:w="2037" w:type="dxa"/>
            <w:tcBorders>
              <w:top w:val="nil"/>
              <w:left w:val="single" w:sz="8" w:space="0" w:color="auto"/>
              <w:bottom w:val="single" w:sz="4" w:space="0" w:color="auto"/>
              <w:right w:val="single" w:sz="4" w:space="0" w:color="auto"/>
            </w:tcBorders>
            <w:noWrap/>
            <w:vAlign w:val="bottom"/>
            <w:hideMark/>
          </w:tcPr>
          <w:p w14:paraId="5DFB4A49" w14:textId="77777777" w:rsidR="004D3209" w:rsidRPr="00895341" w:rsidRDefault="004D3209" w:rsidP="004D3209">
            <w:pPr>
              <w:bidi w:val="0"/>
              <w:rPr>
                <w:rFonts w:ascii="Calibri" w:hAnsi="Calibri"/>
                <w:color w:val="000000"/>
                <w:sz w:val="22"/>
                <w:szCs w:val="22"/>
              </w:rPr>
            </w:pPr>
            <w:r w:rsidRPr="00895341">
              <w:rPr>
                <w:rFonts w:ascii="Calibri" w:hAnsi="Calibri"/>
                <w:color w:val="000000"/>
                <w:sz w:val="22"/>
                <w:szCs w:val="22"/>
              </w:rPr>
              <w:t>Foreign Exchange Risk</w:t>
            </w:r>
          </w:p>
        </w:tc>
        <w:tc>
          <w:tcPr>
            <w:tcW w:w="2271" w:type="dxa"/>
            <w:tcBorders>
              <w:top w:val="nil"/>
              <w:left w:val="nil"/>
              <w:bottom w:val="single" w:sz="4" w:space="0" w:color="auto"/>
              <w:right w:val="single" w:sz="4" w:space="0" w:color="auto"/>
            </w:tcBorders>
            <w:noWrap/>
            <w:vAlign w:val="center"/>
          </w:tcPr>
          <w:p w14:paraId="0C5DAF22" w14:textId="223E04BB" w:rsidR="004D3209" w:rsidRPr="00895341" w:rsidRDefault="004D3209" w:rsidP="00895341">
            <w:pPr>
              <w:bidi w:val="0"/>
              <w:jc w:val="center"/>
              <w:rPr>
                <w:rFonts w:ascii="Calibri" w:hAnsi="Calibri"/>
                <w:color w:val="000000"/>
                <w:sz w:val="22"/>
                <w:szCs w:val="22"/>
              </w:rPr>
            </w:pPr>
            <w:r w:rsidRPr="00895341">
              <w:rPr>
                <w:rFonts w:ascii="Calibri" w:hAnsi="Calibri" w:cs="Calibri"/>
                <w:color w:val="000000"/>
                <w:sz w:val="22"/>
                <w:szCs w:val="22"/>
              </w:rPr>
              <w:t>7</w:t>
            </w:r>
            <w:r w:rsidR="009321FA" w:rsidRPr="00895341">
              <w:rPr>
                <w:rFonts w:ascii="Calibri" w:hAnsi="Calibri" w:cs="Calibri"/>
                <w:color w:val="000000"/>
                <w:sz w:val="22"/>
                <w:szCs w:val="22"/>
              </w:rPr>
              <w:t>,</w:t>
            </w:r>
            <w:r w:rsidRPr="00895341">
              <w:rPr>
                <w:rFonts w:ascii="Calibri" w:hAnsi="Calibri" w:cs="Calibri"/>
                <w:color w:val="000000"/>
                <w:sz w:val="22"/>
                <w:szCs w:val="22"/>
              </w:rPr>
              <w:t>423</w:t>
            </w:r>
          </w:p>
        </w:tc>
        <w:tc>
          <w:tcPr>
            <w:tcW w:w="3331" w:type="dxa"/>
            <w:tcBorders>
              <w:top w:val="nil"/>
              <w:left w:val="nil"/>
              <w:bottom w:val="single" w:sz="4" w:space="0" w:color="auto"/>
              <w:right w:val="single" w:sz="8" w:space="0" w:color="auto"/>
            </w:tcBorders>
            <w:noWrap/>
            <w:vAlign w:val="center"/>
          </w:tcPr>
          <w:p w14:paraId="01147250" w14:textId="0E8B6E1C" w:rsidR="004D3209" w:rsidRPr="00895341" w:rsidRDefault="004D3209" w:rsidP="00895341">
            <w:pPr>
              <w:bidi w:val="0"/>
              <w:jc w:val="center"/>
              <w:rPr>
                <w:rFonts w:ascii="Calibri" w:hAnsi="Calibri"/>
                <w:color w:val="000000"/>
                <w:sz w:val="22"/>
                <w:szCs w:val="22"/>
              </w:rPr>
            </w:pPr>
            <w:r w:rsidRPr="00895341">
              <w:rPr>
                <w:rFonts w:ascii="Calibri" w:hAnsi="Calibri" w:cs="Calibri"/>
                <w:color w:val="000000"/>
                <w:sz w:val="22"/>
                <w:szCs w:val="22"/>
              </w:rPr>
              <w:t>965</w:t>
            </w:r>
          </w:p>
        </w:tc>
      </w:tr>
      <w:tr w:rsidR="007D5D50" w:rsidRPr="00DE68A1" w14:paraId="37E635F6" w14:textId="77777777" w:rsidTr="007D5D50">
        <w:trPr>
          <w:trHeight w:val="257"/>
        </w:trPr>
        <w:tc>
          <w:tcPr>
            <w:tcW w:w="7639" w:type="dxa"/>
            <w:gridSpan w:val="3"/>
            <w:tcBorders>
              <w:top w:val="single" w:sz="4" w:space="0" w:color="auto"/>
              <w:left w:val="single" w:sz="8" w:space="0" w:color="auto"/>
              <w:bottom w:val="single" w:sz="8" w:space="0" w:color="auto"/>
              <w:right w:val="single" w:sz="8" w:space="0" w:color="000000"/>
            </w:tcBorders>
            <w:vAlign w:val="bottom"/>
            <w:hideMark/>
          </w:tcPr>
          <w:p w14:paraId="1C8510E7" w14:textId="77777777" w:rsidR="00B51A7E" w:rsidRPr="00DE68A1" w:rsidRDefault="00B51A7E">
            <w:pPr>
              <w:bidi w:val="0"/>
              <w:jc w:val="center"/>
              <w:rPr>
                <w:rFonts w:ascii="Calibri" w:hAnsi="Calibri"/>
                <w:b/>
                <w:bCs/>
                <w:color w:val="000000"/>
                <w:sz w:val="18"/>
                <w:szCs w:val="18"/>
              </w:rPr>
            </w:pPr>
            <w:r w:rsidRPr="00DE68A1">
              <w:rPr>
                <w:rFonts w:ascii="Calibri" w:hAnsi="Calibri"/>
                <w:b/>
                <w:bCs/>
                <w:color w:val="000000"/>
                <w:sz w:val="18"/>
                <w:szCs w:val="18"/>
              </w:rPr>
              <w:t>Note: The figures are matched with Capital Adequacy computations. The Bank does not have any exposures in the trading book</w:t>
            </w:r>
          </w:p>
        </w:tc>
      </w:tr>
    </w:tbl>
    <w:p w14:paraId="15B0FDDE" w14:textId="77777777" w:rsidR="00B51A7E" w:rsidRPr="00DE68A1" w:rsidRDefault="00B51A7E" w:rsidP="00B51A7E">
      <w:pPr>
        <w:bidi w:val="0"/>
        <w:jc w:val="both"/>
        <w:rPr>
          <w:b/>
          <w:iCs/>
        </w:rPr>
      </w:pPr>
    </w:p>
    <w:p w14:paraId="72F38945" w14:textId="77777777" w:rsidR="00915809" w:rsidRPr="00DE68A1" w:rsidRDefault="00915809" w:rsidP="002F3551">
      <w:pPr>
        <w:bidi w:val="0"/>
        <w:jc w:val="both"/>
        <w:rPr>
          <w:b/>
          <w:iCs/>
        </w:rPr>
      </w:pPr>
    </w:p>
    <w:p w14:paraId="5E63EA73" w14:textId="2F6FE6BC" w:rsidR="00885D5D" w:rsidRPr="00DE68A1" w:rsidRDefault="00885D5D">
      <w:pPr>
        <w:bidi w:val="0"/>
        <w:jc w:val="both"/>
        <w:rPr>
          <w:b/>
          <w:iCs/>
        </w:rPr>
      </w:pPr>
      <w:r w:rsidRPr="00DE68A1">
        <w:rPr>
          <w:b/>
          <w:iCs/>
        </w:rPr>
        <w:t xml:space="preserve">Equity position in the banking </w:t>
      </w:r>
      <w:r w:rsidR="00626B87" w:rsidRPr="00DE68A1">
        <w:rPr>
          <w:b/>
          <w:iCs/>
        </w:rPr>
        <w:t>book:</w:t>
      </w:r>
    </w:p>
    <w:p w14:paraId="3A2632E4" w14:textId="77777777" w:rsidR="00885D5D" w:rsidRPr="00DE68A1" w:rsidRDefault="00885D5D" w:rsidP="00885D5D">
      <w:pPr>
        <w:bidi w:val="0"/>
        <w:jc w:val="both"/>
        <w:rPr>
          <w:b/>
          <w:i/>
        </w:rPr>
      </w:pPr>
    </w:p>
    <w:p w14:paraId="667B2AFE" w14:textId="5188DF90" w:rsidR="00885D5D" w:rsidRPr="00DE68A1" w:rsidRDefault="00885D5D" w:rsidP="007A7387">
      <w:pPr>
        <w:bidi w:val="0"/>
        <w:spacing w:after="200" w:line="276" w:lineRule="auto"/>
        <w:jc w:val="both"/>
        <w:rPr>
          <w:rFonts w:eastAsia="Calibri"/>
        </w:rPr>
      </w:pPr>
      <w:r w:rsidRPr="00DE68A1">
        <w:rPr>
          <w:rFonts w:eastAsia="Calibri"/>
        </w:rPr>
        <w:t xml:space="preserve">Given the specialized nature of the Bank and under its constitution, the Bank invests in equity of companies both for strategic and relationship reasons as well as to generate capital gains. The </w:t>
      </w:r>
      <w:r w:rsidRPr="00DE68A1">
        <w:rPr>
          <w:rFonts w:eastAsia="Calibri"/>
        </w:rPr>
        <w:lastRenderedPageBreak/>
        <w:t xml:space="preserve">Direct Investments and Promotions department manages the equities portfolio which has local and international dimensions. It makes investments in new ventures and funds with the objective of making capital gains in the international private equity markets. The equities portfolio for investments within </w:t>
      </w:r>
      <w:smartTag w:uri="urn:schemas-microsoft-com:office:smarttags" w:element="country-region">
        <w:r w:rsidRPr="00DE68A1">
          <w:rPr>
            <w:rFonts w:eastAsia="Calibri"/>
          </w:rPr>
          <w:t>Kuwait</w:t>
        </w:r>
      </w:smartTag>
      <w:r w:rsidRPr="00DE68A1">
        <w:rPr>
          <w:rFonts w:eastAsia="Calibri"/>
        </w:rPr>
        <w:t xml:space="preserve"> is managed by "Kuwait Industrial Projects Company KSCC"</w:t>
      </w:r>
      <w:r w:rsidR="008C5AEF">
        <w:rPr>
          <w:rFonts w:eastAsia="Calibri"/>
        </w:rPr>
        <w:t xml:space="preserve"> </w:t>
      </w:r>
      <w:r w:rsidRPr="00DE68A1">
        <w:rPr>
          <w:rFonts w:eastAsia="Calibri"/>
        </w:rPr>
        <w:t xml:space="preserve">(KIPCO), a wholly owned subsidiary of the Industrial Bank of </w:t>
      </w:r>
      <w:smartTag w:uri="urn:schemas-microsoft-com:office:smarttags" w:element="place">
        <w:smartTag w:uri="urn:schemas-microsoft-com:office:smarttags" w:element="country-region">
          <w:r w:rsidRPr="00DE68A1">
            <w:rPr>
              <w:rFonts w:eastAsia="Calibri"/>
            </w:rPr>
            <w:t>Kuwait</w:t>
          </w:r>
        </w:smartTag>
      </w:smartTag>
      <w:r w:rsidRPr="00DE68A1">
        <w:rPr>
          <w:rFonts w:eastAsia="Calibri"/>
        </w:rPr>
        <w:t>, whose financial statements are consolidated with those of the Bank.</w:t>
      </w:r>
    </w:p>
    <w:p w14:paraId="1E2D4E22" w14:textId="77777777" w:rsidR="00885D5D" w:rsidRPr="00DE68A1" w:rsidRDefault="00885D5D" w:rsidP="00885D5D">
      <w:pPr>
        <w:bidi w:val="0"/>
        <w:jc w:val="both"/>
        <w:rPr>
          <w:bCs/>
          <w:iCs/>
        </w:rPr>
      </w:pPr>
    </w:p>
    <w:p w14:paraId="4B1B2B7E" w14:textId="5198EDD4" w:rsidR="00885D5D" w:rsidRPr="00DE68A1" w:rsidRDefault="00885D5D" w:rsidP="007A7387">
      <w:pPr>
        <w:bidi w:val="0"/>
        <w:spacing w:after="200" w:line="276" w:lineRule="auto"/>
        <w:jc w:val="both"/>
        <w:rPr>
          <w:rFonts w:eastAsia="Calibri"/>
        </w:rPr>
      </w:pPr>
      <w:r w:rsidRPr="00DE68A1">
        <w:rPr>
          <w:rFonts w:eastAsia="Calibri"/>
        </w:rPr>
        <w:t xml:space="preserve">Strategic investments are those that fit in with the Bank's objectives of </w:t>
      </w:r>
      <w:r w:rsidR="008D15BF" w:rsidRPr="00DE68A1">
        <w:rPr>
          <w:rFonts w:eastAsia="Calibri"/>
        </w:rPr>
        <w:t>long-term</w:t>
      </w:r>
      <w:r w:rsidRPr="00DE68A1">
        <w:rPr>
          <w:rFonts w:eastAsia="Calibri"/>
        </w:rPr>
        <w:t xml:space="preserve"> industrial development and </w:t>
      </w:r>
      <w:r w:rsidR="00432CEF" w:rsidRPr="00DE68A1">
        <w:rPr>
          <w:rFonts w:eastAsia="Calibri"/>
        </w:rPr>
        <w:t>are expected</w:t>
      </w:r>
      <w:r w:rsidRPr="00DE68A1">
        <w:rPr>
          <w:rFonts w:eastAsia="Calibri"/>
        </w:rPr>
        <w:t xml:space="preserve"> to benefit the Bank in terms of reach and network presence. Strategic investments in equities may be made to ensure growth and development of existing companies, investment in new ventures as well as to exercise control over companies which have turned severely delinquent and are underperforming and thus </w:t>
      </w:r>
      <w:r w:rsidR="00432CEF" w:rsidRPr="00DE68A1">
        <w:rPr>
          <w:rFonts w:eastAsia="Calibri"/>
        </w:rPr>
        <w:t>must</w:t>
      </w:r>
      <w:r w:rsidRPr="00DE68A1">
        <w:rPr>
          <w:rFonts w:eastAsia="Calibri"/>
        </w:rPr>
        <w:t xml:space="preserve"> be taken over. Equity investments may be made by KIPCO as pre-IPO placements or may be made directly through the stock exchange for listed companies. Since these are </w:t>
      </w:r>
      <w:r w:rsidR="008C5AEF" w:rsidRPr="00DE68A1">
        <w:rPr>
          <w:rFonts w:eastAsia="Calibri"/>
        </w:rPr>
        <w:t>long-term</w:t>
      </w:r>
      <w:r w:rsidRPr="00DE68A1">
        <w:rPr>
          <w:rFonts w:eastAsia="Calibri"/>
        </w:rPr>
        <w:t xml:space="preserve"> investments, this is a passive investment portfolio with valuations subject to the movements of the market. </w:t>
      </w:r>
      <w:r w:rsidR="007B0B39" w:rsidRPr="00DE68A1">
        <w:rPr>
          <w:rFonts w:eastAsia="Calibri"/>
        </w:rPr>
        <w:t>F</w:t>
      </w:r>
      <w:r w:rsidRPr="00DE68A1">
        <w:rPr>
          <w:rFonts w:eastAsia="Calibri"/>
        </w:rPr>
        <w:t xml:space="preserve">ollowing world and regional trends, the Kuwait Stock Exchange </w:t>
      </w:r>
      <w:r w:rsidR="008D15BF" w:rsidRPr="00DE68A1">
        <w:rPr>
          <w:rFonts w:eastAsia="Calibri"/>
        </w:rPr>
        <w:t>index continues</w:t>
      </w:r>
      <w:r w:rsidRPr="00DE68A1">
        <w:rPr>
          <w:rFonts w:eastAsia="Calibri"/>
        </w:rPr>
        <w:t xml:space="preserve"> to witness high volatility. </w:t>
      </w:r>
    </w:p>
    <w:p w14:paraId="6C606301" w14:textId="77777777" w:rsidR="00885D5D" w:rsidRPr="00DE68A1" w:rsidRDefault="00885D5D" w:rsidP="00885D5D">
      <w:pPr>
        <w:bidi w:val="0"/>
        <w:jc w:val="both"/>
        <w:rPr>
          <w:bCs/>
          <w:iCs/>
        </w:rPr>
      </w:pPr>
    </w:p>
    <w:p w14:paraId="48C2FC39" w14:textId="0EBCE2ED" w:rsidR="00885D5D" w:rsidRPr="00DE68A1" w:rsidRDefault="00885D5D" w:rsidP="007A7387">
      <w:pPr>
        <w:bidi w:val="0"/>
        <w:spacing w:after="200" w:line="276" w:lineRule="auto"/>
        <w:jc w:val="both"/>
        <w:rPr>
          <w:rFonts w:eastAsia="Calibri"/>
        </w:rPr>
      </w:pPr>
      <w:r w:rsidRPr="00DE68A1">
        <w:rPr>
          <w:rFonts w:eastAsia="Calibri"/>
        </w:rPr>
        <w:t xml:space="preserve">Impaired investments form a small component of the </w:t>
      </w:r>
      <w:r w:rsidR="008C5AEF" w:rsidRPr="00DE68A1">
        <w:rPr>
          <w:rFonts w:eastAsia="Calibri"/>
        </w:rPr>
        <w:t>equity</w:t>
      </w:r>
      <w:r w:rsidRPr="00DE68A1">
        <w:rPr>
          <w:rFonts w:eastAsia="Calibri"/>
        </w:rPr>
        <w:t xml:space="preserve"> portfolio. This is retained to exercise remedial control over companies which have </w:t>
      </w:r>
      <w:r w:rsidR="008C5AEF" w:rsidRPr="00DE68A1">
        <w:rPr>
          <w:rFonts w:eastAsia="Calibri"/>
        </w:rPr>
        <w:t>become</w:t>
      </w:r>
      <w:r w:rsidRPr="00DE68A1">
        <w:rPr>
          <w:rFonts w:eastAsia="Calibri"/>
        </w:rPr>
        <w:t xml:space="preserve"> severely delinquent, are underperforming and thus </w:t>
      </w:r>
      <w:r w:rsidR="008C5AEF" w:rsidRPr="00DE68A1">
        <w:rPr>
          <w:rFonts w:eastAsia="Calibri"/>
        </w:rPr>
        <w:t>must</w:t>
      </w:r>
      <w:r w:rsidRPr="00DE68A1">
        <w:rPr>
          <w:rFonts w:eastAsia="Calibri"/>
        </w:rPr>
        <w:t xml:space="preserve"> be taken over. These are under management of KIPCO and relate to domestic exposures only.</w:t>
      </w:r>
    </w:p>
    <w:p w14:paraId="7B52EF0B" w14:textId="77777777" w:rsidR="00885D5D" w:rsidRPr="00DE68A1" w:rsidRDefault="00885D5D" w:rsidP="00885D5D">
      <w:pPr>
        <w:bidi w:val="0"/>
        <w:jc w:val="both"/>
        <w:rPr>
          <w:bCs/>
          <w:iCs/>
        </w:rPr>
      </w:pPr>
    </w:p>
    <w:p w14:paraId="37A97F1E" w14:textId="77777777" w:rsidR="00885D5D" w:rsidRPr="00DE68A1" w:rsidRDefault="00885D5D" w:rsidP="007A7387">
      <w:pPr>
        <w:bidi w:val="0"/>
        <w:spacing w:after="200" w:line="276" w:lineRule="auto"/>
        <w:jc w:val="both"/>
        <w:rPr>
          <w:rFonts w:eastAsia="Calibri"/>
        </w:rPr>
      </w:pPr>
      <w:r w:rsidRPr="00DE68A1">
        <w:rPr>
          <w:rFonts w:eastAsia="Calibri"/>
        </w:rPr>
        <w:t xml:space="preserve">Differentiation is made between the component of the portfolio which has been made with the objective of making capital gains and those that have been made for strategic reasons mentioned above. It is recognized that equity investments carry considerable downside risk as well as expectation of high returns. </w:t>
      </w:r>
      <w:r w:rsidR="006A12FE" w:rsidRPr="00DE68A1">
        <w:rPr>
          <w:rFonts w:eastAsia="Calibri"/>
        </w:rPr>
        <w:t>Risk Management rates all investments made by the Direct Investments and Promotions department using a rating methodology for private equity developed internally by the risk management department.</w:t>
      </w:r>
    </w:p>
    <w:p w14:paraId="1C2CCA06" w14:textId="77777777" w:rsidR="00F34722" w:rsidRPr="00DE68A1" w:rsidRDefault="00F34722" w:rsidP="00F34722">
      <w:pPr>
        <w:pStyle w:val="BodyText"/>
        <w:rPr>
          <w:rtl/>
        </w:rPr>
      </w:pPr>
      <w:r w:rsidRPr="00DE68A1">
        <w:rPr>
          <w:b/>
        </w:rPr>
        <w:t>Interest Rate Risk Management:</w:t>
      </w:r>
      <w:r w:rsidRPr="00DE68A1">
        <w:t xml:space="preserve"> </w:t>
      </w:r>
    </w:p>
    <w:p w14:paraId="7D4F058B" w14:textId="77777777" w:rsidR="00F34722" w:rsidRPr="00DE68A1" w:rsidRDefault="00F34722" w:rsidP="00F34722">
      <w:pPr>
        <w:pStyle w:val="BodyText"/>
      </w:pPr>
    </w:p>
    <w:p w14:paraId="5B949CA1" w14:textId="5FD283B5" w:rsidR="00F34722" w:rsidRPr="00DE68A1" w:rsidRDefault="00F34722" w:rsidP="007A7387">
      <w:pPr>
        <w:bidi w:val="0"/>
        <w:spacing w:after="200" w:line="276" w:lineRule="auto"/>
        <w:jc w:val="both"/>
        <w:rPr>
          <w:rFonts w:eastAsia="Calibri"/>
        </w:rPr>
      </w:pPr>
      <w:r w:rsidRPr="00DE68A1">
        <w:rPr>
          <w:rFonts w:eastAsia="Calibri"/>
        </w:rPr>
        <w:t xml:space="preserve">The overall goal is to manage interest rate sensitivity so that movements in interest rates do not adversely affect net Interest Income. Interest rate risk is measured as the potential volatility in Net Interest Income caused by changes in market interest rates. The Bank uses interest rate gap analysis to measure the interest rate sensitivity of its earnings caused by re-pricing mismatches between rate sensitive assets, liabilities and </w:t>
      </w:r>
      <w:r w:rsidR="008D15BF" w:rsidRPr="00DE68A1">
        <w:rPr>
          <w:rFonts w:eastAsia="Calibri"/>
        </w:rPr>
        <w:t>off-balance</w:t>
      </w:r>
      <w:r w:rsidRPr="00DE68A1">
        <w:rPr>
          <w:rFonts w:eastAsia="Calibri"/>
        </w:rPr>
        <w:t xml:space="preserve"> sheet positions.</w:t>
      </w:r>
    </w:p>
    <w:p w14:paraId="7C2A8062" w14:textId="2A13A2F4" w:rsidR="00F34722" w:rsidRPr="00DE68A1" w:rsidRDefault="00F34722" w:rsidP="007A7387">
      <w:pPr>
        <w:bidi w:val="0"/>
        <w:spacing w:after="200" w:line="276" w:lineRule="auto"/>
        <w:jc w:val="both"/>
        <w:rPr>
          <w:rFonts w:eastAsia="Calibri"/>
        </w:rPr>
      </w:pPr>
      <w:r w:rsidRPr="00DE68A1">
        <w:rPr>
          <w:rFonts w:eastAsia="Calibri"/>
        </w:rPr>
        <w:t xml:space="preserve">The Bank has received a </w:t>
      </w:r>
      <w:r w:rsidR="008D15BF" w:rsidRPr="00DE68A1">
        <w:rPr>
          <w:rFonts w:eastAsia="Calibri"/>
        </w:rPr>
        <w:t>20-year</w:t>
      </w:r>
      <w:r w:rsidRPr="00DE68A1">
        <w:rPr>
          <w:rFonts w:eastAsia="Calibri"/>
        </w:rPr>
        <w:t xml:space="preserve"> loan from the Government of Kuwait </w:t>
      </w:r>
      <w:r w:rsidR="00902EAD" w:rsidRPr="00DE68A1">
        <w:rPr>
          <w:rFonts w:eastAsia="Calibri"/>
        </w:rPr>
        <w:t>(initiated in 1973</w:t>
      </w:r>
      <w:r w:rsidR="00626B87" w:rsidRPr="00DE68A1">
        <w:rPr>
          <w:rFonts w:eastAsia="Calibri"/>
        </w:rPr>
        <w:t xml:space="preserve"> and rolled over</w:t>
      </w:r>
      <w:r w:rsidR="00902EAD" w:rsidRPr="00DE68A1">
        <w:rPr>
          <w:rFonts w:eastAsia="Calibri"/>
        </w:rPr>
        <w:t xml:space="preserve">) </w:t>
      </w:r>
      <w:r w:rsidRPr="00DE68A1">
        <w:rPr>
          <w:rFonts w:eastAsia="Calibri"/>
        </w:rPr>
        <w:t>which is partly priced at the fixed rate of 1/2 % per annum to the extent of the total industrial loans and commitments made by the Bank. In 2007, this was extended by another KD 100 million by the Government. This low-cost source is a very important component of the Bank’s total cost base. The Bank engages in subsidized fixed rate lending to the industrial sector. To that extent, fixed cost sources and applications of funds are outside the framework of interest rate risk calculations.</w:t>
      </w:r>
    </w:p>
    <w:p w14:paraId="058C3B7F" w14:textId="77777777" w:rsidR="00F34722" w:rsidRPr="00DE68A1" w:rsidRDefault="00F34722" w:rsidP="007A7387">
      <w:pPr>
        <w:bidi w:val="0"/>
        <w:spacing w:after="200" w:line="276" w:lineRule="auto"/>
        <w:jc w:val="both"/>
        <w:rPr>
          <w:rFonts w:eastAsia="Calibri"/>
        </w:rPr>
      </w:pPr>
      <w:r w:rsidRPr="00DE68A1">
        <w:rPr>
          <w:rFonts w:eastAsia="Calibri"/>
        </w:rPr>
        <w:lastRenderedPageBreak/>
        <w:t xml:space="preserve">Substantially all remaining KD loans are floating and priced at the Central Bank discount rate plus margin and are re-priced when the Central Bank changes the discount rate. </w:t>
      </w:r>
    </w:p>
    <w:p w14:paraId="6FD32F68" w14:textId="77777777" w:rsidR="00F34722" w:rsidRPr="00DE68A1" w:rsidRDefault="00F76D71" w:rsidP="007A7387">
      <w:pPr>
        <w:bidi w:val="0"/>
        <w:spacing w:after="200" w:line="276" w:lineRule="auto"/>
        <w:jc w:val="both"/>
        <w:rPr>
          <w:rFonts w:eastAsia="Calibri"/>
        </w:rPr>
      </w:pPr>
      <w:r w:rsidRPr="00DE68A1">
        <w:rPr>
          <w:rFonts w:eastAsia="Calibri"/>
        </w:rPr>
        <w:t xml:space="preserve">Around 90% </w:t>
      </w:r>
      <w:r w:rsidR="00F34722" w:rsidRPr="00DE68A1">
        <w:rPr>
          <w:rFonts w:eastAsia="Calibri"/>
        </w:rPr>
        <w:t>of the Bank’s assets are denominated in Kuwaiti Dinars. Among other currencies, the US Dollar is significant. As to all other currencies, the exposure, though not significant, is nonetheless generally matched in each of the maturity buckets.</w:t>
      </w:r>
    </w:p>
    <w:p w14:paraId="13CE926F" w14:textId="77777777" w:rsidR="00F34722" w:rsidRPr="00DE68A1" w:rsidRDefault="00F34722" w:rsidP="007A7387">
      <w:pPr>
        <w:bidi w:val="0"/>
        <w:spacing w:after="200" w:line="276" w:lineRule="auto"/>
        <w:jc w:val="both"/>
        <w:rPr>
          <w:rFonts w:eastAsia="Calibri"/>
        </w:rPr>
      </w:pPr>
      <w:r w:rsidRPr="00DE68A1">
        <w:rPr>
          <w:rFonts w:eastAsia="Calibri"/>
        </w:rPr>
        <w:t>From time to time, stress tests are conducted to gauge the impact on income under stress conditions e.g. sensitivity to a 1% reduction in the discount rate of the Central Bank.</w:t>
      </w:r>
    </w:p>
    <w:p w14:paraId="76D4644B" w14:textId="77777777" w:rsidR="00D703C1" w:rsidRPr="00DE68A1" w:rsidRDefault="00D703C1" w:rsidP="00F34722">
      <w:pPr>
        <w:pStyle w:val="BodyText"/>
        <w:rPr>
          <w:b/>
        </w:rPr>
      </w:pPr>
      <w:r w:rsidRPr="00DE68A1">
        <w:rPr>
          <w:b/>
        </w:rPr>
        <w:t>Counterparty Credit Risk</w:t>
      </w:r>
    </w:p>
    <w:p w14:paraId="4D188562" w14:textId="77777777" w:rsidR="00902EAD" w:rsidRPr="00DE68A1" w:rsidRDefault="00902EAD" w:rsidP="00F34722">
      <w:pPr>
        <w:pStyle w:val="BodyText"/>
        <w:rPr>
          <w:b/>
        </w:rPr>
      </w:pPr>
    </w:p>
    <w:p w14:paraId="53DBAE5B" w14:textId="7B27D705" w:rsidR="00B67C0B" w:rsidRPr="00DE68A1" w:rsidRDefault="00D703C1">
      <w:pPr>
        <w:bidi w:val="0"/>
        <w:spacing w:after="200" w:line="276" w:lineRule="auto"/>
        <w:jc w:val="both"/>
        <w:rPr>
          <w:rFonts w:eastAsia="Calibri"/>
        </w:rPr>
      </w:pPr>
      <w:r w:rsidRPr="00DE68A1">
        <w:rPr>
          <w:rFonts w:eastAsia="Calibri"/>
        </w:rPr>
        <w:t xml:space="preserve">Since the Bank may deal with other banks and financial institutions in foreign exchange forward contracts / swaps used for hedging </w:t>
      </w:r>
      <w:r w:rsidR="008C5AEF">
        <w:rPr>
          <w:rFonts w:eastAsia="Calibri"/>
        </w:rPr>
        <w:t xml:space="preserve">the </w:t>
      </w:r>
      <w:r w:rsidR="008C5AEF" w:rsidRPr="00DE68A1">
        <w:rPr>
          <w:rFonts w:eastAsia="Calibri"/>
        </w:rPr>
        <w:t>bank</w:t>
      </w:r>
      <w:r w:rsidR="008C5AEF">
        <w:rPr>
          <w:rFonts w:eastAsia="Calibri"/>
        </w:rPr>
        <w:t>’s</w:t>
      </w:r>
      <w:r w:rsidRPr="00DE68A1">
        <w:rPr>
          <w:rFonts w:eastAsia="Calibri"/>
        </w:rPr>
        <w:t xml:space="preserve"> exposure, the Bank computes the capital charge for the notional exposure and the mark to market positions of those derivatives, using the Current Exposure Method (CEM) guidelines issued by CBK in this regard. The total capital charg</w:t>
      </w:r>
      <w:r w:rsidR="008708C9" w:rsidRPr="00DE68A1">
        <w:rPr>
          <w:rFonts w:eastAsia="Calibri"/>
        </w:rPr>
        <w:t>e for such exposures is Nil.</w:t>
      </w:r>
    </w:p>
    <w:tbl>
      <w:tblPr>
        <w:tblW w:w="8962" w:type="dxa"/>
        <w:tblInd w:w="118" w:type="dxa"/>
        <w:tblLook w:val="04A0" w:firstRow="1" w:lastRow="0" w:firstColumn="1" w:lastColumn="0" w:noHBand="0" w:noVBand="1"/>
      </w:tblPr>
      <w:tblGrid>
        <w:gridCol w:w="6109"/>
        <w:gridCol w:w="2853"/>
      </w:tblGrid>
      <w:tr w:rsidR="00B51A7E" w:rsidRPr="00DE68A1" w14:paraId="214536CA" w14:textId="77777777" w:rsidTr="00F65F54">
        <w:trPr>
          <w:trHeight w:val="292"/>
        </w:trPr>
        <w:tc>
          <w:tcPr>
            <w:tcW w:w="8962" w:type="dxa"/>
            <w:gridSpan w:val="2"/>
            <w:tcBorders>
              <w:top w:val="single" w:sz="8" w:space="0" w:color="auto"/>
              <w:left w:val="single" w:sz="8" w:space="0" w:color="auto"/>
              <w:bottom w:val="single" w:sz="4" w:space="0" w:color="auto"/>
              <w:right w:val="single" w:sz="8" w:space="0" w:color="000000"/>
            </w:tcBorders>
            <w:shd w:val="clear" w:color="000000" w:fill="002060"/>
            <w:noWrap/>
            <w:vAlign w:val="bottom"/>
            <w:hideMark/>
          </w:tcPr>
          <w:p w14:paraId="643A07AC" w14:textId="3CAEE1A4" w:rsidR="00B51A7E" w:rsidRPr="00DE68A1" w:rsidRDefault="00B51A7E">
            <w:pPr>
              <w:bidi w:val="0"/>
              <w:jc w:val="center"/>
              <w:rPr>
                <w:rFonts w:ascii="Calibri" w:hAnsi="Calibri"/>
                <w:b/>
                <w:bCs/>
                <w:color w:val="FFFFFF"/>
                <w:sz w:val="18"/>
                <w:szCs w:val="18"/>
              </w:rPr>
            </w:pPr>
            <w:r w:rsidRPr="00DE68A1">
              <w:rPr>
                <w:rFonts w:ascii="Calibri" w:hAnsi="Calibri"/>
                <w:b/>
                <w:bCs/>
                <w:color w:val="FFFFFF"/>
                <w:sz w:val="18"/>
                <w:szCs w:val="18"/>
              </w:rPr>
              <w:t>Industrial Bank of Kuwait</w:t>
            </w:r>
          </w:p>
        </w:tc>
      </w:tr>
      <w:tr w:rsidR="00B51A7E" w:rsidRPr="00DE68A1" w14:paraId="60222150" w14:textId="77777777" w:rsidTr="00F65F54">
        <w:trPr>
          <w:trHeight w:val="402"/>
        </w:trPr>
        <w:tc>
          <w:tcPr>
            <w:tcW w:w="8962" w:type="dxa"/>
            <w:gridSpan w:val="2"/>
            <w:tcBorders>
              <w:top w:val="single" w:sz="4" w:space="0" w:color="auto"/>
              <w:left w:val="single" w:sz="8" w:space="0" w:color="auto"/>
              <w:bottom w:val="single" w:sz="4" w:space="0" w:color="auto"/>
              <w:right w:val="single" w:sz="8" w:space="0" w:color="000000"/>
            </w:tcBorders>
            <w:shd w:val="clear" w:color="000000" w:fill="002060"/>
            <w:noWrap/>
            <w:vAlign w:val="bottom"/>
            <w:hideMark/>
          </w:tcPr>
          <w:p w14:paraId="7753AD09" w14:textId="76862801" w:rsidR="009752F0" w:rsidRPr="00DE68A1" w:rsidRDefault="00B51A7E" w:rsidP="009D74D3">
            <w:pPr>
              <w:bidi w:val="0"/>
              <w:jc w:val="center"/>
              <w:rPr>
                <w:rFonts w:ascii="Calibri" w:hAnsi="Calibri"/>
                <w:b/>
                <w:bCs/>
                <w:color w:val="FFFFFF"/>
                <w:sz w:val="18"/>
                <w:szCs w:val="18"/>
              </w:rPr>
            </w:pPr>
            <w:r w:rsidRPr="00DE68A1">
              <w:rPr>
                <w:rFonts w:ascii="Calibri" w:hAnsi="Calibri"/>
                <w:b/>
                <w:bCs/>
                <w:color w:val="FFFFFF"/>
                <w:sz w:val="18"/>
                <w:szCs w:val="18"/>
              </w:rPr>
              <w:t xml:space="preserve">Disclosure on Counterparty </w:t>
            </w:r>
            <w:r w:rsidR="00F52ADB" w:rsidRPr="00DE68A1">
              <w:rPr>
                <w:rFonts w:ascii="Calibri" w:hAnsi="Calibri"/>
                <w:b/>
                <w:bCs/>
                <w:color w:val="FFFFFF"/>
                <w:sz w:val="18"/>
                <w:szCs w:val="18"/>
              </w:rPr>
              <w:t xml:space="preserve">Credit Risk as </w:t>
            </w:r>
            <w:r w:rsidR="00DB2FA1" w:rsidRPr="00DE68A1">
              <w:rPr>
                <w:rFonts w:ascii="Calibri" w:hAnsi="Calibri"/>
                <w:b/>
                <w:bCs/>
                <w:color w:val="FFFFFF"/>
                <w:sz w:val="18"/>
                <w:szCs w:val="18"/>
              </w:rPr>
              <w:t>of</w:t>
            </w:r>
            <w:r w:rsidR="00F52ADB" w:rsidRPr="00DE68A1">
              <w:rPr>
                <w:rFonts w:ascii="Calibri" w:hAnsi="Calibri"/>
                <w:b/>
                <w:bCs/>
                <w:color w:val="FFFFFF"/>
                <w:sz w:val="18"/>
                <w:szCs w:val="18"/>
              </w:rPr>
              <w:t xml:space="preserve"> 31</w:t>
            </w:r>
            <w:r w:rsidR="00F52ADB" w:rsidRPr="00DE68A1">
              <w:rPr>
                <w:rFonts w:ascii="Calibri" w:hAnsi="Calibri"/>
                <w:b/>
                <w:bCs/>
                <w:color w:val="FFFFFF"/>
                <w:sz w:val="18"/>
                <w:szCs w:val="18"/>
                <w:vertAlign w:val="superscript"/>
              </w:rPr>
              <w:t>st</w:t>
            </w:r>
            <w:r w:rsidR="009B3450" w:rsidRPr="00DE68A1">
              <w:rPr>
                <w:rFonts w:ascii="Calibri" w:hAnsi="Calibri"/>
                <w:b/>
                <w:bCs/>
                <w:color w:val="FFFFFF"/>
                <w:sz w:val="18"/>
                <w:szCs w:val="18"/>
              </w:rPr>
              <w:t xml:space="preserve"> </w:t>
            </w:r>
            <w:r w:rsidR="00F52ADB" w:rsidRPr="00DE68A1">
              <w:rPr>
                <w:rFonts w:ascii="Calibri" w:hAnsi="Calibri"/>
                <w:b/>
                <w:bCs/>
                <w:color w:val="FFFFFF"/>
                <w:sz w:val="18"/>
                <w:szCs w:val="18"/>
              </w:rPr>
              <w:t>December</w:t>
            </w:r>
            <w:r w:rsidRPr="00DE68A1">
              <w:rPr>
                <w:rFonts w:ascii="Calibri" w:hAnsi="Calibri"/>
                <w:b/>
                <w:bCs/>
                <w:color w:val="FFFFFF"/>
                <w:sz w:val="18"/>
                <w:szCs w:val="18"/>
              </w:rPr>
              <w:t xml:space="preserve"> </w:t>
            </w:r>
            <w:r w:rsidR="00E01875" w:rsidRPr="00DE68A1">
              <w:rPr>
                <w:rFonts w:ascii="Calibri" w:hAnsi="Calibri"/>
                <w:b/>
                <w:bCs/>
                <w:color w:val="FFFFFF"/>
                <w:sz w:val="18"/>
                <w:szCs w:val="18"/>
              </w:rPr>
              <w:t>202</w:t>
            </w:r>
            <w:r w:rsidR="009B3450" w:rsidRPr="00DE68A1">
              <w:rPr>
                <w:rFonts w:ascii="Calibri" w:hAnsi="Calibri"/>
                <w:b/>
                <w:bCs/>
                <w:color w:val="FFFFFF"/>
                <w:sz w:val="18"/>
                <w:szCs w:val="18"/>
              </w:rPr>
              <w:t>5</w:t>
            </w:r>
          </w:p>
        </w:tc>
      </w:tr>
      <w:tr w:rsidR="00B51A7E" w:rsidRPr="00DE68A1" w14:paraId="1D4AD550" w14:textId="77777777" w:rsidTr="009D74D3">
        <w:trPr>
          <w:trHeight w:val="402"/>
        </w:trPr>
        <w:tc>
          <w:tcPr>
            <w:tcW w:w="6109" w:type="dxa"/>
            <w:tcBorders>
              <w:top w:val="nil"/>
              <w:left w:val="single" w:sz="8" w:space="0" w:color="auto"/>
              <w:bottom w:val="single" w:sz="4" w:space="0" w:color="auto"/>
              <w:right w:val="single" w:sz="4" w:space="0" w:color="auto"/>
            </w:tcBorders>
            <w:noWrap/>
            <w:vAlign w:val="bottom"/>
            <w:hideMark/>
          </w:tcPr>
          <w:p w14:paraId="1864DB66" w14:textId="77777777" w:rsidR="00B51A7E" w:rsidRPr="00DE68A1" w:rsidRDefault="00B51A7E" w:rsidP="00B51A7E">
            <w:pPr>
              <w:bidi w:val="0"/>
              <w:rPr>
                <w:rFonts w:ascii="Calibri" w:hAnsi="Calibri"/>
                <w:b/>
                <w:bCs/>
                <w:color w:val="000000"/>
                <w:sz w:val="18"/>
                <w:szCs w:val="18"/>
              </w:rPr>
            </w:pPr>
            <w:r w:rsidRPr="00DE68A1">
              <w:rPr>
                <w:rFonts w:ascii="Calibri" w:hAnsi="Calibri"/>
                <w:b/>
                <w:bCs/>
                <w:color w:val="000000"/>
                <w:sz w:val="18"/>
                <w:szCs w:val="18"/>
              </w:rPr>
              <w:t xml:space="preserve">Description </w:t>
            </w:r>
          </w:p>
        </w:tc>
        <w:tc>
          <w:tcPr>
            <w:tcW w:w="2853" w:type="dxa"/>
            <w:tcBorders>
              <w:top w:val="nil"/>
              <w:left w:val="nil"/>
              <w:bottom w:val="single" w:sz="4" w:space="0" w:color="auto"/>
              <w:right w:val="single" w:sz="8" w:space="0" w:color="auto"/>
            </w:tcBorders>
            <w:noWrap/>
            <w:vAlign w:val="bottom"/>
            <w:hideMark/>
          </w:tcPr>
          <w:p w14:paraId="704189A8" w14:textId="57AEDCCC" w:rsidR="00B51A7E" w:rsidRPr="00DE68A1" w:rsidRDefault="00B51A7E" w:rsidP="009752F0">
            <w:pPr>
              <w:bidi w:val="0"/>
              <w:jc w:val="right"/>
              <w:rPr>
                <w:rFonts w:ascii="Calibri" w:hAnsi="Calibri"/>
                <w:b/>
                <w:bCs/>
                <w:color w:val="000000"/>
                <w:sz w:val="18"/>
                <w:szCs w:val="18"/>
              </w:rPr>
            </w:pPr>
            <w:r w:rsidRPr="00DE68A1">
              <w:rPr>
                <w:rFonts w:ascii="Calibri" w:hAnsi="Calibri"/>
                <w:b/>
                <w:bCs/>
                <w:color w:val="000000"/>
                <w:sz w:val="18"/>
                <w:szCs w:val="18"/>
              </w:rPr>
              <w:t>Total Weig</w:t>
            </w:r>
            <w:r w:rsidR="009752F0" w:rsidRPr="00DE68A1">
              <w:rPr>
                <w:rFonts w:ascii="Calibri" w:hAnsi="Calibri"/>
                <w:b/>
                <w:bCs/>
                <w:color w:val="000000"/>
                <w:sz w:val="18"/>
                <w:szCs w:val="18"/>
              </w:rPr>
              <w:t xml:space="preserve">hted </w:t>
            </w:r>
            <w:r w:rsidR="008C5AEF" w:rsidRPr="00DE68A1">
              <w:rPr>
                <w:rFonts w:ascii="Calibri" w:hAnsi="Calibri"/>
                <w:b/>
                <w:bCs/>
                <w:color w:val="000000"/>
                <w:sz w:val="18"/>
                <w:szCs w:val="18"/>
              </w:rPr>
              <w:t>Value (</w:t>
            </w:r>
            <w:r w:rsidR="009D74D3" w:rsidRPr="00DE68A1">
              <w:rPr>
                <w:rFonts w:ascii="Calibri" w:hAnsi="Calibri"/>
                <w:b/>
                <w:bCs/>
                <w:color w:val="000000"/>
                <w:sz w:val="18"/>
                <w:szCs w:val="18"/>
              </w:rPr>
              <w:t>000)</w:t>
            </w:r>
            <w:r w:rsidR="009752F0" w:rsidRPr="00DE68A1">
              <w:rPr>
                <w:rFonts w:ascii="Calibri" w:hAnsi="Calibri"/>
                <w:b/>
                <w:bCs/>
                <w:color w:val="000000"/>
                <w:sz w:val="18"/>
                <w:szCs w:val="18"/>
              </w:rPr>
              <w:t xml:space="preserve"> </w:t>
            </w:r>
          </w:p>
        </w:tc>
      </w:tr>
      <w:tr w:rsidR="00B51A7E" w:rsidRPr="00DE68A1" w14:paraId="628C5265" w14:textId="77777777" w:rsidTr="009D74D3">
        <w:trPr>
          <w:trHeight w:val="368"/>
        </w:trPr>
        <w:tc>
          <w:tcPr>
            <w:tcW w:w="6109" w:type="dxa"/>
            <w:tcBorders>
              <w:top w:val="nil"/>
              <w:left w:val="single" w:sz="8" w:space="0" w:color="auto"/>
              <w:bottom w:val="single" w:sz="4" w:space="0" w:color="auto"/>
              <w:right w:val="single" w:sz="4" w:space="0" w:color="auto"/>
            </w:tcBorders>
            <w:vAlign w:val="bottom"/>
            <w:hideMark/>
          </w:tcPr>
          <w:p w14:paraId="5AE62B76" w14:textId="77777777" w:rsidR="00B51A7E" w:rsidRPr="00DE68A1" w:rsidRDefault="00B51A7E" w:rsidP="00B51A7E">
            <w:pPr>
              <w:bidi w:val="0"/>
              <w:rPr>
                <w:rFonts w:ascii="Calibri" w:hAnsi="Calibri"/>
                <w:color w:val="000000"/>
                <w:sz w:val="18"/>
                <w:szCs w:val="18"/>
              </w:rPr>
            </w:pPr>
            <w:r w:rsidRPr="00DE68A1">
              <w:rPr>
                <w:rFonts w:ascii="Calibri" w:hAnsi="Calibri"/>
                <w:color w:val="000000"/>
                <w:sz w:val="18"/>
                <w:szCs w:val="18"/>
              </w:rPr>
              <w:t>Notional Exposure of Foreign Exchange Forward Contracts</w:t>
            </w:r>
          </w:p>
        </w:tc>
        <w:tc>
          <w:tcPr>
            <w:tcW w:w="2853" w:type="dxa"/>
            <w:tcBorders>
              <w:top w:val="nil"/>
              <w:left w:val="nil"/>
              <w:bottom w:val="single" w:sz="4" w:space="0" w:color="auto"/>
              <w:right w:val="single" w:sz="8" w:space="0" w:color="auto"/>
            </w:tcBorders>
            <w:noWrap/>
            <w:vAlign w:val="bottom"/>
            <w:hideMark/>
          </w:tcPr>
          <w:p w14:paraId="4B1E400F" w14:textId="160BE431" w:rsidR="00B51A7E" w:rsidRPr="00DE68A1" w:rsidRDefault="00410492" w:rsidP="00B51A7E">
            <w:pPr>
              <w:bidi w:val="0"/>
              <w:jc w:val="right"/>
              <w:rPr>
                <w:rFonts w:ascii="Calibri" w:hAnsi="Calibri"/>
                <w:color w:val="000000"/>
                <w:sz w:val="18"/>
                <w:szCs w:val="18"/>
              </w:rPr>
            </w:pPr>
            <w:r w:rsidRPr="00DE68A1">
              <w:rPr>
                <w:rFonts w:ascii="Calibri" w:hAnsi="Calibri"/>
                <w:color w:val="000000"/>
                <w:sz w:val="18"/>
                <w:szCs w:val="18"/>
              </w:rPr>
              <w:t xml:space="preserve"> </w:t>
            </w:r>
            <w:r w:rsidR="004D3209" w:rsidRPr="00DE68A1">
              <w:rPr>
                <w:rFonts w:ascii="Calibri" w:hAnsi="Calibri"/>
                <w:color w:val="000000"/>
                <w:sz w:val="18"/>
                <w:szCs w:val="18"/>
              </w:rPr>
              <w:t>0</w:t>
            </w:r>
          </w:p>
        </w:tc>
      </w:tr>
      <w:tr w:rsidR="00B51A7E" w:rsidRPr="00DE68A1" w14:paraId="493DF764" w14:textId="77777777" w:rsidTr="009D74D3">
        <w:trPr>
          <w:trHeight w:val="402"/>
        </w:trPr>
        <w:tc>
          <w:tcPr>
            <w:tcW w:w="6109" w:type="dxa"/>
            <w:tcBorders>
              <w:top w:val="nil"/>
              <w:left w:val="single" w:sz="8" w:space="0" w:color="auto"/>
              <w:bottom w:val="single" w:sz="4" w:space="0" w:color="auto"/>
              <w:right w:val="single" w:sz="4" w:space="0" w:color="auto"/>
            </w:tcBorders>
            <w:noWrap/>
            <w:vAlign w:val="bottom"/>
            <w:hideMark/>
          </w:tcPr>
          <w:p w14:paraId="3C41C974" w14:textId="77777777" w:rsidR="00B51A7E" w:rsidRPr="00DE68A1" w:rsidRDefault="00B51A7E" w:rsidP="00B51A7E">
            <w:pPr>
              <w:bidi w:val="0"/>
              <w:rPr>
                <w:rFonts w:ascii="Calibri" w:hAnsi="Calibri"/>
                <w:color w:val="000000"/>
                <w:sz w:val="18"/>
                <w:szCs w:val="18"/>
              </w:rPr>
            </w:pPr>
            <w:r w:rsidRPr="00DE68A1">
              <w:rPr>
                <w:rFonts w:ascii="Calibri" w:hAnsi="Calibri"/>
                <w:color w:val="000000"/>
                <w:sz w:val="18"/>
                <w:szCs w:val="18"/>
              </w:rPr>
              <w:t>Positive MTM</w:t>
            </w:r>
          </w:p>
        </w:tc>
        <w:tc>
          <w:tcPr>
            <w:tcW w:w="2853" w:type="dxa"/>
            <w:tcBorders>
              <w:top w:val="nil"/>
              <w:left w:val="nil"/>
              <w:bottom w:val="single" w:sz="4" w:space="0" w:color="auto"/>
              <w:right w:val="single" w:sz="8" w:space="0" w:color="auto"/>
            </w:tcBorders>
            <w:noWrap/>
            <w:vAlign w:val="bottom"/>
            <w:hideMark/>
          </w:tcPr>
          <w:p w14:paraId="42DA3C09" w14:textId="613DF23B" w:rsidR="00B51A7E" w:rsidRPr="00DE68A1" w:rsidRDefault="004D3209" w:rsidP="00B51A7E">
            <w:pPr>
              <w:bidi w:val="0"/>
              <w:jc w:val="right"/>
              <w:rPr>
                <w:rFonts w:ascii="Calibri" w:hAnsi="Calibri"/>
                <w:color w:val="000000"/>
                <w:sz w:val="18"/>
                <w:szCs w:val="18"/>
              </w:rPr>
            </w:pPr>
            <w:r w:rsidRPr="00DE68A1">
              <w:rPr>
                <w:rFonts w:ascii="Calibri" w:hAnsi="Calibri"/>
                <w:color w:val="000000"/>
                <w:sz w:val="18"/>
                <w:szCs w:val="18"/>
              </w:rPr>
              <w:t>0</w:t>
            </w:r>
          </w:p>
        </w:tc>
      </w:tr>
    </w:tbl>
    <w:p w14:paraId="557F9CAF" w14:textId="77777777" w:rsidR="00B67C0B" w:rsidRPr="00DE68A1" w:rsidRDefault="00B67C0B" w:rsidP="00D008A5">
      <w:pPr>
        <w:bidi w:val="0"/>
        <w:jc w:val="both"/>
        <w:rPr>
          <w:b/>
          <w:iCs/>
        </w:rPr>
      </w:pPr>
    </w:p>
    <w:p w14:paraId="7BB0173C" w14:textId="0170BB6D" w:rsidR="00F34722" w:rsidRPr="00DE68A1" w:rsidRDefault="00F34722">
      <w:pPr>
        <w:bidi w:val="0"/>
        <w:jc w:val="both"/>
        <w:rPr>
          <w:b/>
          <w:iCs/>
        </w:rPr>
      </w:pPr>
      <w:r w:rsidRPr="00DE68A1">
        <w:rPr>
          <w:b/>
          <w:iCs/>
        </w:rPr>
        <w:t>Interest rate risk in the banking book</w:t>
      </w:r>
    </w:p>
    <w:p w14:paraId="2D7848BE" w14:textId="77777777" w:rsidR="00F34722" w:rsidRPr="00DE68A1" w:rsidRDefault="00F34722" w:rsidP="00F34722">
      <w:pPr>
        <w:bidi w:val="0"/>
        <w:jc w:val="both"/>
        <w:rPr>
          <w:rFonts w:ascii="Letter Gothic" w:hAnsi="Letter Gothic"/>
          <w:lang w:bidi="ar-KW"/>
        </w:rPr>
      </w:pPr>
      <w:r w:rsidRPr="00DE68A1">
        <w:rPr>
          <w:b/>
          <w:i/>
        </w:rPr>
        <w:t xml:space="preserve"> </w:t>
      </w:r>
    </w:p>
    <w:p w14:paraId="5D06BFBA" w14:textId="1507D82E" w:rsidR="00DD1A13" w:rsidRDefault="00F34722" w:rsidP="001221F7">
      <w:pPr>
        <w:bidi w:val="0"/>
        <w:spacing w:after="200" w:line="276" w:lineRule="auto"/>
        <w:jc w:val="both"/>
        <w:rPr>
          <w:rFonts w:eastAsia="Calibri"/>
        </w:rPr>
      </w:pPr>
      <w:r w:rsidRPr="00DE68A1">
        <w:rPr>
          <w:rFonts w:eastAsia="Calibri"/>
        </w:rPr>
        <w:t xml:space="preserve">Interest rate risk in the banking book arises from the mismatches between assets and liabilities, in the various maturity buckets. These </w:t>
      </w:r>
      <w:r w:rsidR="008C5AEF" w:rsidRPr="00DE68A1">
        <w:rPr>
          <w:rFonts w:eastAsia="Calibri"/>
        </w:rPr>
        <w:t>are, however,</w:t>
      </w:r>
      <w:r w:rsidRPr="00DE68A1">
        <w:rPr>
          <w:rFonts w:eastAsia="Calibri"/>
        </w:rPr>
        <w:t xml:space="preserve"> kept within prescribed limits set for each maturity bucket. There is a downside risk in providing hedging as the Kuwaiti Dinar market lacks depth, with limited number of players in the interbank Kuwaiti Dinar market. Interbank activity is sporadic beyond short </w:t>
      </w:r>
      <w:r w:rsidR="008C5AEF" w:rsidRPr="00DE68A1">
        <w:rPr>
          <w:rFonts w:eastAsia="Calibri"/>
        </w:rPr>
        <w:t>maturity</w:t>
      </w:r>
      <w:r w:rsidRPr="00DE68A1">
        <w:rPr>
          <w:rFonts w:eastAsia="Calibri"/>
        </w:rPr>
        <w:t xml:space="preserve">. Central Bank of </w:t>
      </w:r>
      <w:smartTag w:uri="urn:schemas-microsoft-com:office:smarttags" w:element="place">
        <w:smartTag w:uri="urn:schemas-microsoft-com:office:smarttags" w:element="country-region">
          <w:r w:rsidRPr="00DE68A1">
            <w:rPr>
              <w:rFonts w:eastAsia="Calibri"/>
            </w:rPr>
            <w:t>Kuwait</w:t>
          </w:r>
        </w:smartTag>
      </w:smartTag>
      <w:r w:rsidRPr="00DE68A1">
        <w:rPr>
          <w:rFonts w:eastAsia="Calibri"/>
        </w:rPr>
        <w:t xml:space="preserve"> intervention bonds, direct </w:t>
      </w:r>
      <w:r w:rsidR="008D15BF" w:rsidRPr="00DE68A1">
        <w:rPr>
          <w:rFonts w:eastAsia="Calibri"/>
        </w:rPr>
        <w:t>one-month</w:t>
      </w:r>
      <w:r w:rsidRPr="00DE68A1">
        <w:rPr>
          <w:rFonts w:eastAsia="Calibri"/>
        </w:rPr>
        <w:t xml:space="preserve"> intervention and </w:t>
      </w:r>
      <w:smartTag w:uri="urn:schemas-microsoft-com:office:smarttags" w:element="PersonName">
        <w:r w:rsidRPr="00DE68A1">
          <w:rPr>
            <w:rFonts w:eastAsia="Calibri"/>
          </w:rPr>
          <w:t>treasury</w:t>
        </w:r>
      </w:smartTag>
      <w:r w:rsidRPr="00DE68A1">
        <w:rPr>
          <w:rFonts w:eastAsia="Calibri"/>
        </w:rPr>
        <w:t xml:space="preserve"> bonds are the only available instruments for deploying excess liquidity. As a result, CBK interventions can have a major impact on KIBOR rates. The lack of interest rate hedging instruments in the KD market is a concern. However, the Bank's overall exposure to interest rate risk is mitigated by the following factors: (</w:t>
      </w:r>
      <w:proofErr w:type="spellStart"/>
      <w:r w:rsidRPr="00DE68A1">
        <w:rPr>
          <w:rFonts w:eastAsia="Calibri"/>
        </w:rPr>
        <w:t>i</w:t>
      </w:r>
      <w:proofErr w:type="spellEnd"/>
      <w:r w:rsidRPr="00DE68A1">
        <w:rPr>
          <w:rFonts w:eastAsia="Calibri"/>
        </w:rPr>
        <w:t xml:space="preserve">) active and effective management of the Treasury investments portfolio; (ii) commercial loans are priced on floating rate basis; and (iii) project loans are funded by the Government loan and are thus </w:t>
      </w:r>
      <w:r w:rsidR="00AE5DA6" w:rsidRPr="00DE68A1">
        <w:rPr>
          <w:rFonts w:eastAsia="Calibri"/>
        </w:rPr>
        <w:t>market independent</w:t>
      </w:r>
      <w:r w:rsidRPr="00DE68A1">
        <w:rPr>
          <w:rFonts w:eastAsia="Calibri"/>
        </w:rPr>
        <w:t>.</w:t>
      </w:r>
    </w:p>
    <w:p w14:paraId="07845932" w14:textId="77777777" w:rsidR="00CA2C9D" w:rsidRDefault="00CA2C9D" w:rsidP="00CA2C9D">
      <w:pPr>
        <w:bidi w:val="0"/>
        <w:spacing w:after="200" w:line="276" w:lineRule="auto"/>
        <w:jc w:val="both"/>
        <w:rPr>
          <w:rFonts w:eastAsia="Calibri"/>
        </w:rPr>
      </w:pPr>
    </w:p>
    <w:p w14:paraId="748291B2" w14:textId="77777777" w:rsidR="00CA2C9D" w:rsidRDefault="00CA2C9D" w:rsidP="00CA2C9D">
      <w:pPr>
        <w:bidi w:val="0"/>
        <w:spacing w:after="200" w:line="276" w:lineRule="auto"/>
        <w:jc w:val="both"/>
        <w:rPr>
          <w:rFonts w:eastAsia="Calibri"/>
        </w:rPr>
      </w:pPr>
    </w:p>
    <w:p w14:paraId="68FB7F0D" w14:textId="77777777" w:rsidR="00CA2C9D" w:rsidRDefault="00CA2C9D" w:rsidP="00CA2C9D">
      <w:pPr>
        <w:bidi w:val="0"/>
        <w:spacing w:after="200" w:line="276" w:lineRule="auto"/>
        <w:jc w:val="both"/>
        <w:rPr>
          <w:rFonts w:eastAsia="Calibri"/>
        </w:rPr>
      </w:pPr>
    </w:p>
    <w:p w14:paraId="7FE13801" w14:textId="77777777" w:rsidR="00CA2C9D" w:rsidRPr="00DE68A1" w:rsidRDefault="00CA2C9D" w:rsidP="00CA2C9D">
      <w:pPr>
        <w:bidi w:val="0"/>
        <w:spacing w:after="200" w:line="276" w:lineRule="auto"/>
        <w:jc w:val="both"/>
        <w:rPr>
          <w:rFonts w:eastAsia="Calibri"/>
        </w:rPr>
      </w:pPr>
    </w:p>
    <w:tbl>
      <w:tblPr>
        <w:tblW w:w="9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2004"/>
        <w:gridCol w:w="2307"/>
        <w:gridCol w:w="2148"/>
      </w:tblGrid>
      <w:tr w:rsidR="00A14B7F" w:rsidRPr="00DE68A1" w14:paraId="688790D6" w14:textId="77777777" w:rsidTr="00FC6CE4">
        <w:trPr>
          <w:trHeight w:val="401"/>
        </w:trPr>
        <w:tc>
          <w:tcPr>
            <w:tcW w:w="9048" w:type="dxa"/>
            <w:gridSpan w:val="4"/>
            <w:shd w:val="clear" w:color="auto" w:fill="D9D9D9" w:themeFill="background1" w:themeFillShade="D9"/>
            <w:noWrap/>
            <w:vAlign w:val="center"/>
            <w:hideMark/>
          </w:tcPr>
          <w:p w14:paraId="6647B8C0" w14:textId="13C73BB4" w:rsidR="008C66D4" w:rsidRPr="00DE68A1" w:rsidRDefault="00DD1A13" w:rsidP="0088019F">
            <w:pPr>
              <w:bidi w:val="0"/>
              <w:jc w:val="center"/>
              <w:rPr>
                <w:rFonts w:asciiTheme="minorHAnsi" w:hAnsiTheme="minorHAnsi" w:cstheme="minorHAnsi"/>
                <w:b/>
                <w:bCs/>
                <w:sz w:val="18"/>
                <w:szCs w:val="18"/>
              </w:rPr>
            </w:pPr>
            <w:r w:rsidRPr="00DE68A1">
              <w:rPr>
                <w:rFonts w:asciiTheme="minorHAnsi" w:hAnsiTheme="minorHAnsi" w:cstheme="minorHAnsi"/>
                <w:b/>
                <w:bCs/>
                <w:sz w:val="18"/>
                <w:szCs w:val="18"/>
              </w:rPr>
              <w:lastRenderedPageBreak/>
              <w:t>Interest Rate Sensitivity – 31</w:t>
            </w:r>
            <w:r w:rsidRPr="00DE68A1">
              <w:rPr>
                <w:rFonts w:asciiTheme="minorHAnsi" w:hAnsiTheme="minorHAnsi" w:cstheme="minorHAnsi"/>
                <w:b/>
                <w:bCs/>
                <w:sz w:val="18"/>
                <w:szCs w:val="18"/>
                <w:vertAlign w:val="superscript"/>
              </w:rPr>
              <w:t>st</w:t>
            </w:r>
            <w:r w:rsidR="008C66D4" w:rsidRPr="00DE68A1">
              <w:rPr>
                <w:rFonts w:asciiTheme="minorHAnsi" w:hAnsiTheme="minorHAnsi" w:cstheme="minorHAnsi"/>
                <w:b/>
                <w:bCs/>
                <w:sz w:val="18"/>
                <w:szCs w:val="18"/>
              </w:rPr>
              <w:t xml:space="preserve"> December</w:t>
            </w:r>
            <w:r w:rsidRPr="00DE68A1">
              <w:rPr>
                <w:rFonts w:asciiTheme="minorHAnsi" w:hAnsiTheme="minorHAnsi" w:cstheme="minorHAnsi"/>
                <w:b/>
                <w:bCs/>
                <w:sz w:val="18"/>
                <w:szCs w:val="18"/>
              </w:rPr>
              <w:t xml:space="preserve"> </w:t>
            </w:r>
            <w:r w:rsidR="00E01875" w:rsidRPr="00DE68A1">
              <w:rPr>
                <w:rFonts w:asciiTheme="minorHAnsi" w:hAnsiTheme="minorHAnsi" w:cstheme="minorHAnsi"/>
                <w:b/>
                <w:bCs/>
                <w:sz w:val="18"/>
                <w:szCs w:val="18"/>
              </w:rPr>
              <w:t>202</w:t>
            </w:r>
            <w:r w:rsidR="009B3450" w:rsidRPr="00DE68A1">
              <w:rPr>
                <w:rFonts w:asciiTheme="minorHAnsi" w:hAnsiTheme="minorHAnsi" w:cstheme="minorHAnsi"/>
                <w:b/>
                <w:bCs/>
                <w:sz w:val="18"/>
                <w:szCs w:val="18"/>
              </w:rPr>
              <w:t>5</w:t>
            </w:r>
            <w:r w:rsidR="008C66D4" w:rsidRPr="00DE68A1">
              <w:rPr>
                <w:rFonts w:asciiTheme="minorHAnsi" w:hAnsiTheme="minorHAnsi" w:cstheme="minorHAnsi"/>
                <w:b/>
                <w:bCs/>
                <w:sz w:val="18"/>
                <w:szCs w:val="18"/>
              </w:rPr>
              <w:t xml:space="preserve"> </w:t>
            </w:r>
            <w:r w:rsidR="0088019F" w:rsidRPr="00DE68A1">
              <w:rPr>
                <w:rFonts w:asciiTheme="minorHAnsi" w:hAnsiTheme="minorHAnsi" w:cstheme="minorHAnsi"/>
                <w:b/>
                <w:bCs/>
                <w:sz w:val="18"/>
                <w:szCs w:val="18"/>
              </w:rPr>
              <w:t xml:space="preserve">– Local </w:t>
            </w:r>
            <w:r w:rsidRPr="00DE68A1">
              <w:rPr>
                <w:rFonts w:asciiTheme="minorHAnsi" w:hAnsiTheme="minorHAnsi" w:cstheme="minorHAnsi"/>
                <w:b/>
                <w:bCs/>
                <w:sz w:val="18"/>
                <w:szCs w:val="18"/>
              </w:rPr>
              <w:t>Currency</w:t>
            </w:r>
            <w:r w:rsidR="0088019F" w:rsidRPr="00DE68A1">
              <w:rPr>
                <w:rFonts w:asciiTheme="minorHAnsi" w:hAnsiTheme="minorHAnsi" w:cstheme="minorHAnsi"/>
                <w:b/>
                <w:bCs/>
                <w:sz w:val="18"/>
                <w:szCs w:val="18"/>
              </w:rPr>
              <w:t xml:space="preserve"> -</w:t>
            </w:r>
            <w:r w:rsidR="004355A9" w:rsidRPr="00DE68A1">
              <w:rPr>
                <w:rFonts w:asciiTheme="minorHAnsi" w:hAnsiTheme="minorHAnsi" w:cstheme="minorHAnsi"/>
                <w:b/>
                <w:bCs/>
                <w:sz w:val="18"/>
                <w:szCs w:val="18"/>
              </w:rPr>
              <w:t xml:space="preserve"> </w:t>
            </w:r>
            <w:r w:rsidR="008C66D4" w:rsidRPr="00DE68A1">
              <w:rPr>
                <w:rFonts w:asciiTheme="minorHAnsi" w:hAnsiTheme="minorHAnsi" w:cstheme="minorHAnsi"/>
                <w:b/>
                <w:bCs/>
                <w:sz w:val="18"/>
                <w:szCs w:val="18"/>
              </w:rPr>
              <w:t>All figures in KD '000</w:t>
            </w:r>
          </w:p>
        </w:tc>
      </w:tr>
      <w:tr w:rsidR="007118A3" w:rsidRPr="00DE68A1" w14:paraId="051738E2" w14:textId="77777777" w:rsidTr="00042DC3">
        <w:trPr>
          <w:trHeight w:val="213"/>
        </w:trPr>
        <w:tc>
          <w:tcPr>
            <w:tcW w:w="2589" w:type="dxa"/>
            <w:noWrap/>
            <w:vAlign w:val="center"/>
            <w:hideMark/>
          </w:tcPr>
          <w:p w14:paraId="332B1DE2" w14:textId="77777777" w:rsidR="00DD1A13" w:rsidRPr="00DE68A1" w:rsidRDefault="00DD1A13" w:rsidP="00263F20">
            <w:pPr>
              <w:rPr>
                <w:rFonts w:asciiTheme="minorHAnsi" w:hAnsiTheme="minorHAnsi" w:cstheme="minorHAnsi"/>
                <w:color w:val="000000"/>
                <w:sz w:val="18"/>
                <w:szCs w:val="18"/>
                <w:rtl/>
              </w:rPr>
            </w:pPr>
            <w:r w:rsidRPr="00DE68A1">
              <w:rPr>
                <w:rFonts w:asciiTheme="minorHAnsi" w:hAnsiTheme="minorHAnsi" w:cstheme="minorHAnsi"/>
                <w:color w:val="000000"/>
                <w:sz w:val="18"/>
                <w:szCs w:val="18"/>
              </w:rPr>
              <w:t> </w:t>
            </w:r>
          </w:p>
        </w:tc>
        <w:tc>
          <w:tcPr>
            <w:tcW w:w="2004" w:type="dxa"/>
            <w:noWrap/>
            <w:vAlign w:val="center"/>
            <w:hideMark/>
          </w:tcPr>
          <w:p w14:paraId="18263554" w14:textId="77777777" w:rsidR="00DD1A13" w:rsidRPr="00DE68A1" w:rsidRDefault="00DD1A13" w:rsidP="000043BA">
            <w:pPr>
              <w:jc w:val="center"/>
              <w:rPr>
                <w:rFonts w:asciiTheme="minorHAnsi" w:hAnsiTheme="minorHAnsi" w:cstheme="minorHAnsi"/>
                <w:color w:val="000000"/>
                <w:sz w:val="18"/>
                <w:szCs w:val="18"/>
                <w:rtl/>
              </w:rPr>
            </w:pPr>
            <w:r w:rsidRPr="00DE68A1">
              <w:rPr>
                <w:rFonts w:asciiTheme="minorHAnsi" w:hAnsiTheme="minorHAnsi" w:cstheme="minorHAnsi"/>
                <w:color w:val="000000"/>
                <w:sz w:val="18"/>
                <w:szCs w:val="18"/>
              </w:rPr>
              <w:t>Up to 1 Year</w:t>
            </w:r>
          </w:p>
        </w:tc>
        <w:tc>
          <w:tcPr>
            <w:tcW w:w="2307" w:type="dxa"/>
            <w:noWrap/>
            <w:vAlign w:val="center"/>
            <w:hideMark/>
          </w:tcPr>
          <w:p w14:paraId="0CD8A346" w14:textId="77777777" w:rsidR="00DD1A13" w:rsidRPr="00DE68A1" w:rsidRDefault="00DD1A13" w:rsidP="000043BA">
            <w:pPr>
              <w:ind w:firstLineChars="200" w:firstLine="360"/>
              <w:jc w:val="center"/>
              <w:rPr>
                <w:rFonts w:asciiTheme="minorHAnsi" w:hAnsiTheme="minorHAnsi" w:cstheme="minorHAnsi"/>
                <w:color w:val="000000"/>
                <w:sz w:val="18"/>
                <w:szCs w:val="18"/>
                <w:rtl/>
              </w:rPr>
            </w:pPr>
            <w:r w:rsidRPr="00DE68A1">
              <w:rPr>
                <w:rFonts w:asciiTheme="minorHAnsi" w:hAnsiTheme="minorHAnsi" w:cstheme="minorHAnsi"/>
                <w:color w:val="000000"/>
                <w:sz w:val="18"/>
                <w:szCs w:val="18"/>
              </w:rPr>
              <w:t>1 - 5 Years</w:t>
            </w:r>
          </w:p>
        </w:tc>
        <w:tc>
          <w:tcPr>
            <w:tcW w:w="2148" w:type="dxa"/>
            <w:noWrap/>
            <w:vAlign w:val="center"/>
            <w:hideMark/>
          </w:tcPr>
          <w:p w14:paraId="6DFC5A0B" w14:textId="77777777" w:rsidR="00DD1A13" w:rsidRPr="00DE68A1" w:rsidRDefault="00DD1A13" w:rsidP="000043BA">
            <w:pPr>
              <w:jc w:val="center"/>
              <w:rPr>
                <w:rFonts w:asciiTheme="minorHAnsi" w:hAnsiTheme="minorHAnsi" w:cstheme="minorHAnsi"/>
                <w:color w:val="000000"/>
                <w:sz w:val="18"/>
                <w:szCs w:val="18"/>
                <w:rtl/>
              </w:rPr>
            </w:pPr>
            <w:r w:rsidRPr="00DE68A1">
              <w:rPr>
                <w:rFonts w:asciiTheme="minorHAnsi" w:hAnsiTheme="minorHAnsi" w:cstheme="minorHAnsi"/>
                <w:color w:val="000000"/>
                <w:sz w:val="18"/>
                <w:szCs w:val="18"/>
              </w:rPr>
              <w:t>Over 5 Years</w:t>
            </w:r>
          </w:p>
        </w:tc>
      </w:tr>
      <w:tr w:rsidR="009321FA" w:rsidRPr="00DE68A1" w14:paraId="6E0FA8B2" w14:textId="77777777" w:rsidTr="003714EA">
        <w:trPr>
          <w:trHeight w:val="213"/>
        </w:trPr>
        <w:tc>
          <w:tcPr>
            <w:tcW w:w="2589" w:type="dxa"/>
            <w:noWrap/>
            <w:vAlign w:val="center"/>
            <w:hideMark/>
          </w:tcPr>
          <w:p w14:paraId="66EDE455" w14:textId="77777777" w:rsidR="009321FA" w:rsidRPr="00DE68A1" w:rsidRDefault="009321FA" w:rsidP="009321FA">
            <w:pPr>
              <w:jc w:val="right"/>
              <w:rPr>
                <w:rFonts w:asciiTheme="minorHAnsi" w:hAnsiTheme="minorHAnsi" w:cstheme="minorHAnsi"/>
                <w:color w:val="000000"/>
                <w:sz w:val="18"/>
                <w:szCs w:val="18"/>
                <w:rtl/>
              </w:rPr>
            </w:pPr>
            <w:r w:rsidRPr="00DE68A1">
              <w:rPr>
                <w:rFonts w:asciiTheme="minorHAnsi" w:hAnsiTheme="minorHAnsi" w:cstheme="minorHAnsi"/>
                <w:color w:val="000000"/>
                <w:sz w:val="18"/>
                <w:szCs w:val="18"/>
              </w:rPr>
              <w:t>Interest Earning Assets</w:t>
            </w:r>
          </w:p>
        </w:tc>
        <w:tc>
          <w:tcPr>
            <w:tcW w:w="2004" w:type="dxa"/>
            <w:tcBorders>
              <w:top w:val="nil"/>
              <w:left w:val="nil"/>
              <w:bottom w:val="single" w:sz="8" w:space="0" w:color="auto"/>
              <w:right w:val="single" w:sz="8" w:space="0" w:color="auto"/>
            </w:tcBorders>
            <w:noWrap/>
            <w:vAlign w:val="center"/>
          </w:tcPr>
          <w:p w14:paraId="4F5D6D7D" w14:textId="58ACC657" w:rsidR="009321FA" w:rsidRPr="00DE68A1" w:rsidRDefault="009321FA" w:rsidP="009321FA">
            <w:pPr>
              <w:bidi w:val="0"/>
              <w:jc w:val="right"/>
              <w:rPr>
                <w:rFonts w:asciiTheme="minorHAnsi" w:hAnsiTheme="minorHAnsi" w:cstheme="minorHAnsi"/>
                <w:color w:val="000000"/>
                <w:sz w:val="18"/>
                <w:szCs w:val="18"/>
                <w:rtl/>
              </w:rPr>
            </w:pPr>
            <w:r w:rsidRPr="0000359D">
              <w:rPr>
                <w:rFonts w:asciiTheme="minorHAnsi" w:hAnsiTheme="minorHAnsi" w:cstheme="minorHAnsi"/>
                <w:color w:val="000000"/>
                <w:sz w:val="18"/>
                <w:szCs w:val="18"/>
              </w:rPr>
              <w:t>450,755</w:t>
            </w:r>
          </w:p>
        </w:tc>
        <w:tc>
          <w:tcPr>
            <w:tcW w:w="2307" w:type="dxa"/>
            <w:tcBorders>
              <w:top w:val="nil"/>
              <w:left w:val="nil"/>
              <w:bottom w:val="single" w:sz="8" w:space="0" w:color="auto"/>
              <w:right w:val="single" w:sz="8" w:space="0" w:color="auto"/>
            </w:tcBorders>
            <w:noWrap/>
            <w:vAlign w:val="center"/>
          </w:tcPr>
          <w:p w14:paraId="4E3E41BB" w14:textId="22E6D83F" w:rsidR="009321FA" w:rsidRPr="00DE68A1" w:rsidRDefault="009321FA" w:rsidP="009321FA">
            <w:pPr>
              <w:bidi w:val="0"/>
              <w:jc w:val="right"/>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w:t>
            </w:r>
            <w:r w:rsidRPr="0000359D">
              <w:rPr>
                <w:rFonts w:asciiTheme="minorHAnsi" w:hAnsiTheme="minorHAnsi" w:cstheme="minorHAnsi"/>
                <w:color w:val="000000"/>
                <w:sz w:val="18"/>
                <w:szCs w:val="18"/>
              </w:rPr>
              <w:t>122,906</w:t>
            </w:r>
          </w:p>
        </w:tc>
        <w:tc>
          <w:tcPr>
            <w:tcW w:w="2148" w:type="dxa"/>
            <w:tcBorders>
              <w:top w:val="nil"/>
              <w:left w:val="nil"/>
              <w:bottom w:val="single" w:sz="8" w:space="0" w:color="auto"/>
              <w:right w:val="single" w:sz="8" w:space="0" w:color="auto"/>
            </w:tcBorders>
            <w:noWrap/>
            <w:vAlign w:val="center"/>
          </w:tcPr>
          <w:p w14:paraId="456C7D4C" w14:textId="14726FF8" w:rsidR="009321FA" w:rsidRPr="00DE68A1" w:rsidRDefault="009321FA" w:rsidP="009321FA">
            <w:pPr>
              <w:bidi w:val="0"/>
              <w:jc w:val="right"/>
              <w:rPr>
                <w:rFonts w:asciiTheme="minorHAnsi" w:hAnsiTheme="minorHAnsi" w:cstheme="minorHAnsi"/>
                <w:color w:val="000000"/>
                <w:sz w:val="18"/>
                <w:szCs w:val="18"/>
                <w:rtl/>
              </w:rPr>
            </w:pPr>
            <w:r w:rsidRPr="0000359D">
              <w:rPr>
                <w:rFonts w:asciiTheme="minorHAnsi" w:hAnsiTheme="minorHAnsi" w:cstheme="minorHAnsi"/>
                <w:color w:val="000000"/>
                <w:sz w:val="18"/>
                <w:szCs w:val="18"/>
              </w:rPr>
              <w:t>30,520</w:t>
            </w:r>
          </w:p>
        </w:tc>
      </w:tr>
      <w:tr w:rsidR="009321FA" w:rsidRPr="00DE68A1" w14:paraId="113B58AA" w14:textId="77777777" w:rsidTr="003714EA">
        <w:trPr>
          <w:trHeight w:val="213"/>
        </w:trPr>
        <w:tc>
          <w:tcPr>
            <w:tcW w:w="2589" w:type="dxa"/>
            <w:noWrap/>
            <w:vAlign w:val="center"/>
            <w:hideMark/>
          </w:tcPr>
          <w:p w14:paraId="69C79791" w14:textId="77777777" w:rsidR="009321FA" w:rsidRPr="00DE68A1" w:rsidRDefault="009321FA" w:rsidP="009321FA">
            <w:pPr>
              <w:jc w:val="right"/>
              <w:rPr>
                <w:rFonts w:asciiTheme="minorHAnsi" w:hAnsiTheme="minorHAnsi" w:cstheme="minorHAnsi"/>
                <w:color w:val="000000"/>
                <w:sz w:val="18"/>
                <w:szCs w:val="18"/>
                <w:rtl/>
              </w:rPr>
            </w:pPr>
            <w:r w:rsidRPr="00DE68A1">
              <w:rPr>
                <w:rFonts w:asciiTheme="minorHAnsi" w:hAnsiTheme="minorHAnsi" w:cstheme="minorHAnsi"/>
                <w:color w:val="000000"/>
                <w:sz w:val="18"/>
                <w:szCs w:val="18"/>
              </w:rPr>
              <w:t>Interest Bearing Liabilities</w:t>
            </w:r>
          </w:p>
        </w:tc>
        <w:tc>
          <w:tcPr>
            <w:tcW w:w="2004" w:type="dxa"/>
            <w:tcBorders>
              <w:top w:val="nil"/>
              <w:left w:val="nil"/>
              <w:bottom w:val="single" w:sz="8" w:space="0" w:color="auto"/>
              <w:right w:val="single" w:sz="8" w:space="0" w:color="auto"/>
            </w:tcBorders>
            <w:noWrap/>
            <w:vAlign w:val="center"/>
          </w:tcPr>
          <w:p w14:paraId="290E8CE3" w14:textId="3534BB42" w:rsidR="009321FA" w:rsidRPr="00DE68A1" w:rsidRDefault="009321FA" w:rsidP="009321FA">
            <w:pPr>
              <w:bidi w:val="0"/>
              <w:jc w:val="right"/>
              <w:rPr>
                <w:rFonts w:asciiTheme="minorHAnsi" w:hAnsiTheme="minorHAnsi" w:cstheme="minorHAnsi"/>
                <w:color w:val="000000"/>
                <w:sz w:val="18"/>
                <w:szCs w:val="18"/>
                <w:rtl/>
              </w:rPr>
            </w:pPr>
            <w:r w:rsidRPr="0000359D">
              <w:rPr>
                <w:rFonts w:asciiTheme="minorHAnsi" w:hAnsiTheme="minorHAnsi" w:cstheme="minorHAnsi"/>
                <w:color w:val="000000"/>
                <w:sz w:val="18"/>
                <w:szCs w:val="18"/>
              </w:rPr>
              <w:t>7,342</w:t>
            </w:r>
          </w:p>
        </w:tc>
        <w:tc>
          <w:tcPr>
            <w:tcW w:w="2307" w:type="dxa"/>
            <w:tcBorders>
              <w:top w:val="nil"/>
              <w:left w:val="nil"/>
              <w:bottom w:val="single" w:sz="8" w:space="0" w:color="auto"/>
              <w:right w:val="single" w:sz="8" w:space="0" w:color="auto"/>
            </w:tcBorders>
            <w:noWrap/>
            <w:vAlign w:val="center"/>
          </w:tcPr>
          <w:p w14:paraId="2E3FB9EE" w14:textId="382FADB7" w:rsidR="009321FA" w:rsidRPr="00DE68A1" w:rsidRDefault="009321FA" w:rsidP="009321FA">
            <w:pPr>
              <w:bidi w:val="0"/>
              <w:jc w:val="right"/>
              <w:rPr>
                <w:rFonts w:asciiTheme="minorHAnsi" w:hAnsiTheme="minorHAnsi" w:cstheme="minorHAnsi"/>
                <w:color w:val="000000"/>
                <w:sz w:val="18"/>
                <w:szCs w:val="18"/>
                <w:rtl/>
              </w:rPr>
            </w:pPr>
            <w:r w:rsidRPr="0000359D">
              <w:rPr>
                <w:rFonts w:asciiTheme="minorHAnsi" w:hAnsiTheme="minorHAnsi" w:cstheme="minorHAnsi"/>
                <w:color w:val="000000"/>
                <w:sz w:val="18"/>
                <w:szCs w:val="18"/>
              </w:rPr>
              <w:t>300,000</w:t>
            </w:r>
          </w:p>
        </w:tc>
        <w:tc>
          <w:tcPr>
            <w:tcW w:w="2148" w:type="dxa"/>
            <w:tcBorders>
              <w:top w:val="nil"/>
              <w:left w:val="nil"/>
              <w:bottom w:val="single" w:sz="8" w:space="0" w:color="auto"/>
              <w:right w:val="single" w:sz="8" w:space="0" w:color="auto"/>
            </w:tcBorders>
            <w:noWrap/>
            <w:vAlign w:val="center"/>
          </w:tcPr>
          <w:p w14:paraId="5DCCB4A7" w14:textId="415AFA5D" w:rsidR="009321FA" w:rsidRPr="00DE68A1" w:rsidRDefault="009321FA" w:rsidP="009321FA">
            <w:pPr>
              <w:bidi w:val="0"/>
              <w:jc w:val="right"/>
              <w:rPr>
                <w:rFonts w:asciiTheme="minorHAnsi" w:hAnsiTheme="minorHAnsi" w:cstheme="minorHAnsi"/>
                <w:color w:val="000000"/>
                <w:sz w:val="18"/>
                <w:szCs w:val="18"/>
                <w:rtl/>
              </w:rPr>
            </w:pPr>
            <w:r w:rsidRPr="0000359D">
              <w:rPr>
                <w:rFonts w:asciiTheme="minorHAnsi" w:hAnsiTheme="minorHAnsi" w:cstheme="minorHAnsi"/>
                <w:color w:val="000000"/>
                <w:sz w:val="18"/>
                <w:szCs w:val="18"/>
                <w:rtl/>
              </w:rPr>
              <w:t>0</w:t>
            </w:r>
          </w:p>
        </w:tc>
      </w:tr>
      <w:tr w:rsidR="009321FA" w:rsidRPr="00DE68A1" w14:paraId="7D5A2730" w14:textId="77777777" w:rsidTr="003714EA">
        <w:trPr>
          <w:trHeight w:val="213"/>
        </w:trPr>
        <w:tc>
          <w:tcPr>
            <w:tcW w:w="2589" w:type="dxa"/>
            <w:noWrap/>
            <w:vAlign w:val="center"/>
            <w:hideMark/>
          </w:tcPr>
          <w:p w14:paraId="2CC53E1C" w14:textId="77777777" w:rsidR="009321FA" w:rsidRPr="00DE68A1" w:rsidRDefault="009321FA" w:rsidP="009321FA">
            <w:pPr>
              <w:jc w:val="right"/>
              <w:rPr>
                <w:rFonts w:asciiTheme="minorHAnsi" w:hAnsiTheme="minorHAnsi" w:cstheme="minorHAnsi"/>
                <w:color w:val="000000"/>
                <w:sz w:val="18"/>
                <w:szCs w:val="18"/>
                <w:rtl/>
              </w:rPr>
            </w:pPr>
            <w:r w:rsidRPr="00DE68A1">
              <w:rPr>
                <w:rFonts w:asciiTheme="minorHAnsi" w:hAnsiTheme="minorHAnsi" w:cstheme="minorHAnsi"/>
                <w:color w:val="000000"/>
                <w:sz w:val="18"/>
                <w:szCs w:val="18"/>
              </w:rPr>
              <w:t>GAP</w:t>
            </w:r>
          </w:p>
        </w:tc>
        <w:tc>
          <w:tcPr>
            <w:tcW w:w="2004" w:type="dxa"/>
            <w:tcBorders>
              <w:top w:val="nil"/>
              <w:left w:val="nil"/>
              <w:bottom w:val="single" w:sz="8" w:space="0" w:color="auto"/>
              <w:right w:val="single" w:sz="8" w:space="0" w:color="auto"/>
            </w:tcBorders>
            <w:noWrap/>
            <w:vAlign w:val="center"/>
          </w:tcPr>
          <w:p w14:paraId="25EC9589" w14:textId="6290A2F4" w:rsidR="009321FA" w:rsidRPr="00DE68A1" w:rsidRDefault="009321FA" w:rsidP="009321FA">
            <w:pPr>
              <w:bidi w:val="0"/>
              <w:jc w:val="right"/>
              <w:rPr>
                <w:rFonts w:asciiTheme="minorHAnsi" w:hAnsiTheme="minorHAnsi" w:cstheme="minorHAnsi"/>
                <w:color w:val="000000"/>
                <w:sz w:val="18"/>
                <w:szCs w:val="18"/>
                <w:rtl/>
              </w:rPr>
            </w:pPr>
            <w:r w:rsidRPr="0000359D">
              <w:rPr>
                <w:rFonts w:asciiTheme="minorHAnsi" w:hAnsiTheme="minorHAnsi" w:cstheme="minorHAnsi"/>
                <w:color w:val="000000"/>
                <w:sz w:val="18"/>
                <w:szCs w:val="18"/>
              </w:rPr>
              <w:t>443,41</w:t>
            </w:r>
            <w:r w:rsidR="00FE1634">
              <w:rPr>
                <w:rFonts w:asciiTheme="minorHAnsi" w:hAnsiTheme="minorHAnsi" w:cstheme="minorHAnsi"/>
                <w:color w:val="000000"/>
                <w:sz w:val="18"/>
                <w:szCs w:val="18"/>
              </w:rPr>
              <w:t>3</w:t>
            </w:r>
          </w:p>
        </w:tc>
        <w:tc>
          <w:tcPr>
            <w:tcW w:w="2307" w:type="dxa"/>
            <w:tcBorders>
              <w:top w:val="nil"/>
              <w:left w:val="nil"/>
              <w:bottom w:val="single" w:sz="8" w:space="0" w:color="auto"/>
              <w:right w:val="single" w:sz="8" w:space="0" w:color="auto"/>
            </w:tcBorders>
            <w:noWrap/>
            <w:vAlign w:val="center"/>
          </w:tcPr>
          <w:p w14:paraId="003168B0" w14:textId="57715103" w:rsidR="009321FA" w:rsidRPr="00DE68A1" w:rsidRDefault="009321FA" w:rsidP="009321FA">
            <w:pPr>
              <w:bidi w:val="0"/>
              <w:jc w:val="right"/>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w:t>
            </w:r>
            <w:r w:rsidRPr="0000359D">
              <w:rPr>
                <w:rFonts w:asciiTheme="minorHAnsi" w:hAnsiTheme="minorHAnsi" w:cstheme="minorHAnsi"/>
                <w:color w:val="000000"/>
                <w:sz w:val="18"/>
                <w:szCs w:val="18"/>
              </w:rPr>
              <w:t>(177,094)</w:t>
            </w:r>
          </w:p>
        </w:tc>
        <w:tc>
          <w:tcPr>
            <w:tcW w:w="2148" w:type="dxa"/>
            <w:tcBorders>
              <w:top w:val="nil"/>
              <w:left w:val="nil"/>
              <w:bottom w:val="single" w:sz="8" w:space="0" w:color="auto"/>
              <w:right w:val="single" w:sz="8" w:space="0" w:color="auto"/>
            </w:tcBorders>
            <w:noWrap/>
            <w:vAlign w:val="center"/>
          </w:tcPr>
          <w:p w14:paraId="0289D918" w14:textId="6BADFDB6" w:rsidR="009321FA" w:rsidRPr="00DE68A1" w:rsidRDefault="009321FA" w:rsidP="009321FA">
            <w:pPr>
              <w:bidi w:val="0"/>
              <w:jc w:val="right"/>
              <w:rPr>
                <w:rFonts w:asciiTheme="minorHAnsi" w:hAnsiTheme="minorHAnsi" w:cstheme="minorHAnsi"/>
                <w:color w:val="000000"/>
                <w:sz w:val="18"/>
                <w:szCs w:val="18"/>
              </w:rPr>
            </w:pPr>
            <w:r w:rsidRPr="0000359D">
              <w:rPr>
                <w:rFonts w:asciiTheme="minorHAnsi" w:hAnsiTheme="minorHAnsi" w:cstheme="minorHAnsi"/>
                <w:color w:val="000000"/>
                <w:sz w:val="18"/>
                <w:szCs w:val="18"/>
              </w:rPr>
              <w:t>30,520</w:t>
            </w:r>
          </w:p>
        </w:tc>
      </w:tr>
      <w:tr w:rsidR="009321FA" w:rsidRPr="00DE68A1" w14:paraId="3177579E" w14:textId="77777777" w:rsidTr="003714EA">
        <w:trPr>
          <w:trHeight w:val="213"/>
        </w:trPr>
        <w:tc>
          <w:tcPr>
            <w:tcW w:w="2589" w:type="dxa"/>
            <w:noWrap/>
            <w:vAlign w:val="center"/>
            <w:hideMark/>
          </w:tcPr>
          <w:p w14:paraId="069E50DE" w14:textId="77777777" w:rsidR="009321FA" w:rsidRPr="00DE68A1" w:rsidRDefault="009321FA" w:rsidP="009321FA">
            <w:pPr>
              <w:jc w:val="right"/>
              <w:rPr>
                <w:rFonts w:asciiTheme="minorHAnsi" w:hAnsiTheme="minorHAnsi" w:cstheme="minorHAnsi"/>
                <w:color w:val="000000"/>
                <w:sz w:val="18"/>
                <w:szCs w:val="18"/>
                <w:rtl/>
              </w:rPr>
            </w:pPr>
            <w:r w:rsidRPr="00DE68A1">
              <w:rPr>
                <w:rFonts w:asciiTheme="minorHAnsi" w:hAnsiTheme="minorHAnsi" w:cstheme="minorHAnsi"/>
                <w:color w:val="000000"/>
                <w:sz w:val="18"/>
                <w:szCs w:val="18"/>
              </w:rPr>
              <w:t>Cumulative GAP</w:t>
            </w:r>
          </w:p>
        </w:tc>
        <w:tc>
          <w:tcPr>
            <w:tcW w:w="2004" w:type="dxa"/>
            <w:tcBorders>
              <w:top w:val="nil"/>
              <w:left w:val="nil"/>
              <w:bottom w:val="single" w:sz="8" w:space="0" w:color="auto"/>
              <w:right w:val="single" w:sz="8" w:space="0" w:color="auto"/>
            </w:tcBorders>
            <w:noWrap/>
            <w:vAlign w:val="center"/>
          </w:tcPr>
          <w:p w14:paraId="0291129E" w14:textId="61C84920" w:rsidR="009321FA" w:rsidRPr="00DE68A1" w:rsidRDefault="009321FA" w:rsidP="009321FA">
            <w:pPr>
              <w:bidi w:val="0"/>
              <w:jc w:val="right"/>
              <w:rPr>
                <w:rFonts w:asciiTheme="minorHAnsi" w:hAnsiTheme="minorHAnsi" w:cstheme="minorHAnsi"/>
                <w:color w:val="000000"/>
                <w:sz w:val="18"/>
                <w:szCs w:val="18"/>
                <w:rtl/>
              </w:rPr>
            </w:pPr>
            <w:r w:rsidRPr="0000359D">
              <w:rPr>
                <w:rFonts w:asciiTheme="minorHAnsi" w:hAnsiTheme="minorHAnsi" w:cstheme="minorHAnsi"/>
                <w:color w:val="000000"/>
                <w:sz w:val="18"/>
                <w:szCs w:val="18"/>
              </w:rPr>
              <w:t>443,41</w:t>
            </w:r>
            <w:r w:rsidR="00FE1634">
              <w:rPr>
                <w:rFonts w:asciiTheme="minorHAnsi" w:hAnsiTheme="minorHAnsi" w:cstheme="minorHAnsi"/>
                <w:color w:val="000000"/>
                <w:sz w:val="18"/>
                <w:szCs w:val="18"/>
              </w:rPr>
              <w:t>3</w:t>
            </w:r>
          </w:p>
        </w:tc>
        <w:tc>
          <w:tcPr>
            <w:tcW w:w="2307" w:type="dxa"/>
            <w:tcBorders>
              <w:top w:val="nil"/>
              <w:left w:val="nil"/>
              <w:bottom w:val="single" w:sz="8" w:space="0" w:color="auto"/>
              <w:right w:val="single" w:sz="8" w:space="0" w:color="auto"/>
            </w:tcBorders>
            <w:noWrap/>
            <w:vAlign w:val="center"/>
          </w:tcPr>
          <w:p w14:paraId="1283F332" w14:textId="5BAA2C56" w:rsidR="009321FA" w:rsidRPr="00DE68A1" w:rsidRDefault="009321FA" w:rsidP="009321FA">
            <w:pPr>
              <w:bidi w:val="0"/>
              <w:jc w:val="right"/>
              <w:rPr>
                <w:rFonts w:asciiTheme="minorHAnsi" w:hAnsiTheme="minorHAnsi" w:cstheme="minorHAnsi"/>
                <w:color w:val="000000"/>
                <w:sz w:val="18"/>
                <w:szCs w:val="18"/>
                <w:rtl/>
              </w:rPr>
            </w:pPr>
            <w:r w:rsidRPr="0000359D">
              <w:rPr>
                <w:rFonts w:asciiTheme="minorHAnsi" w:hAnsiTheme="minorHAnsi" w:cstheme="minorHAnsi"/>
                <w:color w:val="000000"/>
                <w:sz w:val="18"/>
                <w:szCs w:val="18"/>
              </w:rPr>
              <w:t>266,31</w:t>
            </w:r>
            <w:r w:rsidR="00FE1634">
              <w:rPr>
                <w:rFonts w:asciiTheme="minorHAnsi" w:hAnsiTheme="minorHAnsi" w:cstheme="minorHAnsi"/>
                <w:color w:val="000000"/>
                <w:sz w:val="18"/>
                <w:szCs w:val="18"/>
              </w:rPr>
              <w:t>9</w:t>
            </w:r>
          </w:p>
        </w:tc>
        <w:tc>
          <w:tcPr>
            <w:tcW w:w="2148" w:type="dxa"/>
            <w:tcBorders>
              <w:top w:val="nil"/>
              <w:left w:val="nil"/>
              <w:bottom w:val="single" w:sz="8" w:space="0" w:color="auto"/>
              <w:right w:val="single" w:sz="8" w:space="0" w:color="auto"/>
            </w:tcBorders>
            <w:noWrap/>
            <w:vAlign w:val="center"/>
          </w:tcPr>
          <w:p w14:paraId="6B1576B1" w14:textId="3577AF0E" w:rsidR="009321FA" w:rsidRPr="00DE68A1" w:rsidRDefault="009321FA" w:rsidP="009321FA">
            <w:pPr>
              <w:bidi w:val="0"/>
              <w:jc w:val="right"/>
              <w:rPr>
                <w:rFonts w:asciiTheme="minorHAnsi" w:hAnsiTheme="minorHAnsi" w:cstheme="minorHAnsi"/>
                <w:color w:val="000000"/>
                <w:sz w:val="18"/>
                <w:szCs w:val="18"/>
                <w:rtl/>
              </w:rPr>
            </w:pPr>
            <w:r w:rsidRPr="0000359D">
              <w:rPr>
                <w:rFonts w:asciiTheme="minorHAnsi" w:hAnsiTheme="minorHAnsi" w:cstheme="minorHAnsi"/>
                <w:color w:val="000000"/>
                <w:sz w:val="18"/>
                <w:szCs w:val="18"/>
              </w:rPr>
              <w:t>296,838</w:t>
            </w:r>
          </w:p>
        </w:tc>
      </w:tr>
      <w:tr w:rsidR="00427810" w:rsidRPr="00DE68A1" w14:paraId="494C9FE4" w14:textId="6F8B6F24" w:rsidTr="00FC0E27">
        <w:trPr>
          <w:trHeight w:val="213"/>
        </w:trPr>
        <w:tc>
          <w:tcPr>
            <w:tcW w:w="6900" w:type="dxa"/>
            <w:gridSpan w:val="3"/>
            <w:noWrap/>
            <w:vAlign w:val="center"/>
            <w:hideMark/>
          </w:tcPr>
          <w:p w14:paraId="2D5A8123" w14:textId="06B4E740" w:rsidR="00427810" w:rsidRPr="00DE68A1" w:rsidRDefault="00427810" w:rsidP="00427810">
            <w:pPr>
              <w:jc w:val="right"/>
              <w:rPr>
                <w:rFonts w:asciiTheme="minorHAnsi" w:hAnsiTheme="minorHAnsi" w:cstheme="minorHAnsi"/>
                <w:color w:val="000000"/>
                <w:sz w:val="18"/>
                <w:szCs w:val="18"/>
                <w:rtl/>
              </w:rPr>
            </w:pPr>
            <w:r w:rsidRPr="00DE68A1">
              <w:rPr>
                <w:rFonts w:asciiTheme="minorHAnsi" w:hAnsiTheme="minorHAnsi" w:cstheme="minorHAnsi"/>
                <w:color w:val="000000"/>
                <w:sz w:val="18"/>
                <w:szCs w:val="18"/>
              </w:rPr>
              <w:t>Sensitivity to 1% interest rate change in the next 1 year</w:t>
            </w:r>
            <w:r w:rsidRPr="00DE68A1">
              <w:rPr>
                <w:rFonts w:asciiTheme="minorHAnsi" w:hAnsiTheme="minorHAnsi" w:cstheme="minorHAnsi"/>
                <w:color w:val="000000"/>
                <w:sz w:val="18"/>
                <w:szCs w:val="18"/>
                <w:rtl/>
              </w:rPr>
              <w:t> </w:t>
            </w:r>
          </w:p>
        </w:tc>
        <w:tc>
          <w:tcPr>
            <w:tcW w:w="2148" w:type="dxa"/>
            <w:noWrap/>
            <w:vAlign w:val="center"/>
          </w:tcPr>
          <w:p w14:paraId="0418DFC1" w14:textId="7EC5BDF4" w:rsidR="00427810" w:rsidRPr="00DE68A1" w:rsidRDefault="00410492" w:rsidP="00916ECD">
            <w:pPr>
              <w:bidi w:val="0"/>
              <w:jc w:val="right"/>
              <w:rPr>
                <w:rFonts w:ascii="Calibri" w:hAnsi="Calibri" w:cs="Calibri"/>
                <w:color w:val="000000"/>
                <w:sz w:val="18"/>
                <w:szCs w:val="18"/>
                <w:rtl/>
              </w:rPr>
            </w:pPr>
            <w:r w:rsidRPr="00DE68A1">
              <w:rPr>
                <w:rFonts w:ascii="Calibri" w:hAnsi="Calibri" w:cs="Calibri"/>
                <w:color w:val="000000"/>
                <w:sz w:val="18"/>
                <w:szCs w:val="18"/>
              </w:rPr>
              <w:t xml:space="preserve"> </w:t>
            </w:r>
            <w:r w:rsidR="00042DC3" w:rsidRPr="00DE68A1">
              <w:rPr>
                <w:rFonts w:ascii="Calibri" w:hAnsi="Calibri" w:cs="Calibri"/>
                <w:color w:val="000000"/>
                <w:sz w:val="18"/>
                <w:szCs w:val="18"/>
              </w:rPr>
              <w:t>2968</w:t>
            </w:r>
          </w:p>
        </w:tc>
      </w:tr>
      <w:tr w:rsidR="00A14B7F" w:rsidRPr="00DE68A1" w14:paraId="6FB1CB8F" w14:textId="77777777" w:rsidTr="00FC6CE4">
        <w:trPr>
          <w:trHeight w:val="386"/>
        </w:trPr>
        <w:tc>
          <w:tcPr>
            <w:tcW w:w="9048" w:type="dxa"/>
            <w:gridSpan w:val="4"/>
            <w:shd w:val="clear" w:color="auto" w:fill="D9D9D9" w:themeFill="background1" w:themeFillShade="D9"/>
            <w:noWrap/>
            <w:vAlign w:val="center"/>
            <w:hideMark/>
          </w:tcPr>
          <w:p w14:paraId="15F1936F" w14:textId="7DB4957C" w:rsidR="008C66D4" w:rsidRPr="00DE68A1" w:rsidRDefault="008C66D4" w:rsidP="004355A9">
            <w:pPr>
              <w:bidi w:val="0"/>
              <w:jc w:val="center"/>
              <w:rPr>
                <w:rFonts w:asciiTheme="minorHAnsi" w:hAnsiTheme="minorHAnsi" w:cstheme="minorHAnsi"/>
                <w:b/>
                <w:bCs/>
                <w:sz w:val="18"/>
                <w:szCs w:val="18"/>
                <w:rtl/>
              </w:rPr>
            </w:pPr>
            <w:r w:rsidRPr="00DE68A1">
              <w:rPr>
                <w:rFonts w:asciiTheme="minorHAnsi" w:hAnsiTheme="minorHAnsi" w:cstheme="minorHAnsi"/>
                <w:b/>
                <w:bCs/>
                <w:sz w:val="18"/>
                <w:szCs w:val="18"/>
              </w:rPr>
              <w:t>Interest Rate Sensitivity – 31</w:t>
            </w:r>
            <w:r w:rsidRPr="00DE68A1">
              <w:rPr>
                <w:rFonts w:asciiTheme="minorHAnsi" w:hAnsiTheme="minorHAnsi" w:cstheme="minorHAnsi"/>
                <w:b/>
                <w:bCs/>
                <w:sz w:val="18"/>
                <w:szCs w:val="18"/>
                <w:vertAlign w:val="superscript"/>
              </w:rPr>
              <w:t>st</w:t>
            </w:r>
            <w:r w:rsidR="00024332" w:rsidRPr="00DE68A1">
              <w:rPr>
                <w:rFonts w:asciiTheme="minorHAnsi" w:hAnsiTheme="minorHAnsi" w:cstheme="minorHAnsi"/>
                <w:b/>
                <w:bCs/>
                <w:sz w:val="18"/>
                <w:szCs w:val="18"/>
              </w:rPr>
              <w:t xml:space="preserve"> December </w:t>
            </w:r>
            <w:r w:rsidR="00E01875" w:rsidRPr="00DE68A1">
              <w:rPr>
                <w:rFonts w:asciiTheme="minorHAnsi" w:hAnsiTheme="minorHAnsi" w:cstheme="minorHAnsi"/>
                <w:b/>
                <w:bCs/>
                <w:sz w:val="18"/>
                <w:szCs w:val="18"/>
              </w:rPr>
              <w:t>202</w:t>
            </w:r>
            <w:r w:rsidR="009B3450" w:rsidRPr="00DE68A1">
              <w:rPr>
                <w:rFonts w:asciiTheme="minorHAnsi" w:hAnsiTheme="minorHAnsi" w:cstheme="minorHAnsi"/>
                <w:b/>
                <w:bCs/>
                <w:sz w:val="18"/>
                <w:szCs w:val="18"/>
              </w:rPr>
              <w:t>5</w:t>
            </w:r>
            <w:r w:rsidRPr="00DE68A1">
              <w:rPr>
                <w:rFonts w:asciiTheme="minorHAnsi" w:hAnsiTheme="minorHAnsi" w:cstheme="minorHAnsi"/>
                <w:b/>
                <w:bCs/>
                <w:sz w:val="18"/>
                <w:szCs w:val="18"/>
              </w:rPr>
              <w:t xml:space="preserve"> </w:t>
            </w:r>
            <w:r w:rsidR="0088019F" w:rsidRPr="00DE68A1">
              <w:rPr>
                <w:rFonts w:asciiTheme="minorHAnsi" w:hAnsiTheme="minorHAnsi" w:cstheme="minorHAnsi"/>
                <w:b/>
                <w:bCs/>
                <w:sz w:val="18"/>
                <w:szCs w:val="18"/>
              </w:rPr>
              <w:t xml:space="preserve">- </w:t>
            </w:r>
            <w:r w:rsidRPr="00DE68A1">
              <w:rPr>
                <w:rFonts w:asciiTheme="minorHAnsi" w:hAnsiTheme="minorHAnsi" w:cstheme="minorHAnsi"/>
                <w:b/>
                <w:bCs/>
                <w:sz w:val="18"/>
                <w:szCs w:val="18"/>
              </w:rPr>
              <w:t>Foreign Currency</w:t>
            </w:r>
            <w:r w:rsidR="0088019F" w:rsidRPr="00DE68A1">
              <w:rPr>
                <w:rFonts w:asciiTheme="minorHAnsi" w:hAnsiTheme="minorHAnsi" w:cstheme="minorHAnsi"/>
                <w:b/>
                <w:bCs/>
                <w:sz w:val="18"/>
                <w:szCs w:val="18"/>
              </w:rPr>
              <w:t xml:space="preserve"> (</w:t>
            </w:r>
            <w:r w:rsidRPr="00DE68A1">
              <w:rPr>
                <w:rFonts w:asciiTheme="minorHAnsi" w:hAnsiTheme="minorHAnsi" w:cstheme="minorHAnsi"/>
                <w:b/>
                <w:bCs/>
                <w:sz w:val="18"/>
                <w:szCs w:val="18"/>
              </w:rPr>
              <w:t>USD)</w:t>
            </w:r>
            <w:r w:rsidR="0088019F" w:rsidRPr="00DE68A1">
              <w:rPr>
                <w:rFonts w:asciiTheme="minorHAnsi" w:hAnsiTheme="minorHAnsi" w:cstheme="minorHAnsi"/>
                <w:b/>
                <w:bCs/>
                <w:sz w:val="18"/>
                <w:szCs w:val="18"/>
              </w:rPr>
              <w:t xml:space="preserve"> -</w:t>
            </w:r>
            <w:r w:rsidR="004355A9" w:rsidRPr="00DE68A1">
              <w:rPr>
                <w:rFonts w:asciiTheme="minorHAnsi" w:hAnsiTheme="minorHAnsi" w:cstheme="minorHAnsi"/>
                <w:b/>
                <w:bCs/>
                <w:sz w:val="18"/>
                <w:szCs w:val="18"/>
              </w:rPr>
              <w:t xml:space="preserve"> </w:t>
            </w:r>
            <w:r w:rsidRPr="00DE68A1">
              <w:rPr>
                <w:rFonts w:asciiTheme="minorHAnsi" w:hAnsiTheme="minorHAnsi" w:cstheme="minorHAnsi"/>
                <w:b/>
                <w:bCs/>
                <w:sz w:val="18"/>
                <w:szCs w:val="18"/>
              </w:rPr>
              <w:t>All figures in KD '00</w:t>
            </w:r>
            <w:r w:rsidR="004355A9" w:rsidRPr="00DE68A1">
              <w:rPr>
                <w:rFonts w:asciiTheme="minorHAnsi" w:hAnsiTheme="minorHAnsi" w:cstheme="minorHAnsi"/>
                <w:b/>
                <w:bCs/>
                <w:sz w:val="18"/>
                <w:szCs w:val="18"/>
              </w:rPr>
              <w:t>0</w:t>
            </w:r>
          </w:p>
        </w:tc>
      </w:tr>
      <w:tr w:rsidR="007118A3" w:rsidRPr="00DE68A1" w14:paraId="2A56E263" w14:textId="77777777" w:rsidTr="00042DC3">
        <w:trPr>
          <w:trHeight w:val="213"/>
        </w:trPr>
        <w:tc>
          <w:tcPr>
            <w:tcW w:w="2589" w:type="dxa"/>
            <w:noWrap/>
            <w:vAlign w:val="center"/>
            <w:hideMark/>
          </w:tcPr>
          <w:p w14:paraId="22D9AB6C" w14:textId="77777777" w:rsidR="00D008A5" w:rsidRPr="00DE68A1" w:rsidRDefault="00D008A5" w:rsidP="00D008A5">
            <w:pPr>
              <w:rPr>
                <w:rFonts w:asciiTheme="minorHAnsi" w:hAnsiTheme="minorHAnsi" w:cstheme="minorHAnsi"/>
                <w:color w:val="000000"/>
                <w:sz w:val="18"/>
                <w:szCs w:val="18"/>
                <w:rtl/>
              </w:rPr>
            </w:pPr>
            <w:r w:rsidRPr="00DE68A1">
              <w:rPr>
                <w:rFonts w:asciiTheme="minorHAnsi" w:hAnsiTheme="minorHAnsi" w:cstheme="minorHAnsi"/>
                <w:color w:val="000000"/>
                <w:sz w:val="18"/>
                <w:szCs w:val="18"/>
              </w:rPr>
              <w:t> </w:t>
            </w:r>
          </w:p>
        </w:tc>
        <w:tc>
          <w:tcPr>
            <w:tcW w:w="2004" w:type="dxa"/>
            <w:noWrap/>
            <w:vAlign w:val="center"/>
            <w:hideMark/>
          </w:tcPr>
          <w:p w14:paraId="139212CC" w14:textId="77777777" w:rsidR="00D008A5" w:rsidRPr="00DE68A1" w:rsidRDefault="00D008A5" w:rsidP="000043BA">
            <w:pPr>
              <w:jc w:val="center"/>
              <w:rPr>
                <w:rFonts w:asciiTheme="minorHAnsi" w:hAnsiTheme="minorHAnsi" w:cstheme="minorHAnsi"/>
                <w:color w:val="000000"/>
                <w:sz w:val="18"/>
                <w:szCs w:val="18"/>
                <w:rtl/>
              </w:rPr>
            </w:pPr>
            <w:r w:rsidRPr="00DE68A1">
              <w:rPr>
                <w:rFonts w:asciiTheme="minorHAnsi" w:hAnsiTheme="minorHAnsi" w:cstheme="minorHAnsi"/>
                <w:color w:val="000000"/>
                <w:sz w:val="18"/>
                <w:szCs w:val="18"/>
              </w:rPr>
              <w:t>Up to 1 Year</w:t>
            </w:r>
          </w:p>
        </w:tc>
        <w:tc>
          <w:tcPr>
            <w:tcW w:w="2307" w:type="dxa"/>
            <w:noWrap/>
            <w:vAlign w:val="center"/>
            <w:hideMark/>
          </w:tcPr>
          <w:p w14:paraId="65E7D74D" w14:textId="77777777" w:rsidR="00D008A5" w:rsidRPr="00DE68A1" w:rsidRDefault="00D008A5" w:rsidP="000043BA">
            <w:pPr>
              <w:jc w:val="center"/>
              <w:rPr>
                <w:rFonts w:asciiTheme="minorHAnsi" w:hAnsiTheme="minorHAnsi" w:cstheme="minorHAnsi"/>
                <w:color w:val="000000"/>
                <w:sz w:val="18"/>
                <w:szCs w:val="18"/>
                <w:rtl/>
              </w:rPr>
            </w:pPr>
            <w:r w:rsidRPr="00DE68A1">
              <w:rPr>
                <w:rFonts w:asciiTheme="minorHAnsi" w:hAnsiTheme="minorHAnsi" w:cstheme="minorHAnsi"/>
                <w:color w:val="000000"/>
                <w:sz w:val="18"/>
                <w:szCs w:val="18"/>
              </w:rPr>
              <w:t>1 - 5 Years</w:t>
            </w:r>
          </w:p>
        </w:tc>
        <w:tc>
          <w:tcPr>
            <w:tcW w:w="2148" w:type="dxa"/>
            <w:noWrap/>
            <w:vAlign w:val="center"/>
            <w:hideMark/>
          </w:tcPr>
          <w:p w14:paraId="0A3B91D9" w14:textId="77777777" w:rsidR="00D008A5" w:rsidRPr="00DE68A1" w:rsidRDefault="00D008A5" w:rsidP="000043BA">
            <w:pPr>
              <w:jc w:val="center"/>
              <w:rPr>
                <w:rFonts w:asciiTheme="minorHAnsi" w:hAnsiTheme="minorHAnsi" w:cstheme="minorHAnsi"/>
                <w:color w:val="000000"/>
                <w:sz w:val="18"/>
                <w:szCs w:val="18"/>
                <w:rtl/>
              </w:rPr>
            </w:pPr>
            <w:r w:rsidRPr="00DE68A1">
              <w:rPr>
                <w:rFonts w:asciiTheme="minorHAnsi" w:hAnsiTheme="minorHAnsi" w:cstheme="minorHAnsi"/>
                <w:color w:val="000000"/>
                <w:sz w:val="18"/>
                <w:szCs w:val="18"/>
              </w:rPr>
              <w:t>Over 5 Years</w:t>
            </w:r>
          </w:p>
        </w:tc>
      </w:tr>
      <w:tr w:rsidR="00D53E14" w:rsidRPr="00DE68A1" w14:paraId="435211CA" w14:textId="77777777" w:rsidTr="000716C7">
        <w:trPr>
          <w:trHeight w:val="213"/>
        </w:trPr>
        <w:tc>
          <w:tcPr>
            <w:tcW w:w="2589" w:type="dxa"/>
            <w:noWrap/>
            <w:vAlign w:val="center"/>
            <w:hideMark/>
          </w:tcPr>
          <w:p w14:paraId="6237BE6A" w14:textId="77777777" w:rsidR="00D53E14" w:rsidRPr="00DE68A1" w:rsidRDefault="00D53E14" w:rsidP="00D53E14">
            <w:pPr>
              <w:jc w:val="right"/>
              <w:rPr>
                <w:rFonts w:asciiTheme="minorHAnsi" w:hAnsiTheme="minorHAnsi" w:cstheme="minorHAnsi"/>
                <w:color w:val="000000"/>
                <w:sz w:val="18"/>
                <w:szCs w:val="18"/>
                <w:rtl/>
              </w:rPr>
            </w:pPr>
            <w:r w:rsidRPr="00DE68A1">
              <w:rPr>
                <w:rFonts w:asciiTheme="minorHAnsi" w:hAnsiTheme="minorHAnsi" w:cstheme="minorHAnsi"/>
                <w:color w:val="000000"/>
                <w:sz w:val="18"/>
                <w:szCs w:val="18"/>
              </w:rPr>
              <w:t>Interest Earning Assets</w:t>
            </w:r>
          </w:p>
        </w:tc>
        <w:tc>
          <w:tcPr>
            <w:tcW w:w="2004" w:type="dxa"/>
            <w:noWrap/>
            <w:vAlign w:val="center"/>
          </w:tcPr>
          <w:p w14:paraId="0F90C92B" w14:textId="0C816727" w:rsidR="00D53E14" w:rsidRPr="00DE68A1" w:rsidRDefault="00D53E14" w:rsidP="00D53E14">
            <w:pPr>
              <w:bidi w:val="0"/>
              <w:jc w:val="right"/>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23,375</w:t>
            </w:r>
          </w:p>
        </w:tc>
        <w:tc>
          <w:tcPr>
            <w:tcW w:w="2307" w:type="dxa"/>
            <w:noWrap/>
            <w:vAlign w:val="center"/>
          </w:tcPr>
          <w:p w14:paraId="4082363C" w14:textId="00C045D6" w:rsidR="00D53E14" w:rsidRPr="00DE68A1" w:rsidRDefault="00D53E14" w:rsidP="00D53E14">
            <w:pPr>
              <w:bidi w:val="0"/>
              <w:jc w:val="right"/>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w:t>
            </w:r>
            <w:r w:rsidRPr="0000359D">
              <w:rPr>
                <w:rFonts w:asciiTheme="minorHAnsi" w:hAnsiTheme="minorHAnsi" w:cstheme="minorHAnsi"/>
                <w:color w:val="000000"/>
                <w:sz w:val="18"/>
                <w:szCs w:val="18"/>
              </w:rPr>
              <w:t>0</w:t>
            </w:r>
          </w:p>
        </w:tc>
        <w:tc>
          <w:tcPr>
            <w:tcW w:w="2148" w:type="dxa"/>
            <w:noWrap/>
            <w:vAlign w:val="center"/>
          </w:tcPr>
          <w:p w14:paraId="5E677DCD" w14:textId="66397D5B" w:rsidR="00D53E14" w:rsidRPr="00DE68A1" w:rsidRDefault="00D53E14" w:rsidP="00D53E14">
            <w:pPr>
              <w:bidi w:val="0"/>
              <w:jc w:val="right"/>
              <w:rPr>
                <w:rFonts w:asciiTheme="minorHAnsi" w:hAnsiTheme="minorHAnsi" w:cstheme="minorHAnsi"/>
                <w:color w:val="000000"/>
                <w:sz w:val="18"/>
                <w:szCs w:val="18"/>
                <w:rtl/>
              </w:rPr>
            </w:pPr>
            <w:r w:rsidRPr="0000359D">
              <w:rPr>
                <w:rFonts w:asciiTheme="minorHAnsi" w:hAnsiTheme="minorHAnsi" w:cstheme="minorHAnsi"/>
                <w:color w:val="000000"/>
                <w:sz w:val="18"/>
                <w:szCs w:val="18"/>
                <w:rtl/>
              </w:rPr>
              <w:t>0</w:t>
            </w:r>
          </w:p>
        </w:tc>
      </w:tr>
      <w:tr w:rsidR="00D53E14" w:rsidRPr="00DE68A1" w14:paraId="5D06DD00" w14:textId="77777777" w:rsidTr="000716C7">
        <w:trPr>
          <w:trHeight w:val="213"/>
        </w:trPr>
        <w:tc>
          <w:tcPr>
            <w:tcW w:w="2589" w:type="dxa"/>
            <w:noWrap/>
            <w:vAlign w:val="center"/>
            <w:hideMark/>
          </w:tcPr>
          <w:p w14:paraId="3E8156F0" w14:textId="77777777" w:rsidR="00D53E14" w:rsidRPr="00DE68A1" w:rsidRDefault="00D53E14" w:rsidP="00D53E14">
            <w:pPr>
              <w:jc w:val="right"/>
              <w:rPr>
                <w:rFonts w:asciiTheme="minorHAnsi" w:hAnsiTheme="minorHAnsi" w:cstheme="minorHAnsi"/>
                <w:color w:val="000000"/>
                <w:sz w:val="18"/>
                <w:szCs w:val="18"/>
                <w:rtl/>
              </w:rPr>
            </w:pPr>
            <w:r w:rsidRPr="00DE68A1">
              <w:rPr>
                <w:rFonts w:asciiTheme="minorHAnsi" w:hAnsiTheme="minorHAnsi" w:cstheme="minorHAnsi"/>
                <w:color w:val="000000"/>
                <w:sz w:val="18"/>
                <w:szCs w:val="18"/>
              </w:rPr>
              <w:t>Interest Bearing Liabilities</w:t>
            </w:r>
          </w:p>
        </w:tc>
        <w:tc>
          <w:tcPr>
            <w:tcW w:w="2004" w:type="dxa"/>
            <w:noWrap/>
            <w:vAlign w:val="center"/>
          </w:tcPr>
          <w:p w14:paraId="02F105E4" w14:textId="675F3022" w:rsidR="00D53E14" w:rsidRPr="00DE68A1" w:rsidRDefault="00D53E14" w:rsidP="00D53E14">
            <w:pPr>
              <w:bidi w:val="0"/>
              <w:jc w:val="right"/>
              <w:rPr>
                <w:rFonts w:asciiTheme="minorHAnsi" w:hAnsiTheme="minorHAnsi" w:cstheme="minorHAnsi"/>
                <w:color w:val="000000"/>
                <w:sz w:val="18"/>
                <w:szCs w:val="18"/>
                <w:rtl/>
              </w:rPr>
            </w:pPr>
            <w:r w:rsidRPr="0000359D">
              <w:rPr>
                <w:rFonts w:asciiTheme="minorHAnsi" w:hAnsiTheme="minorHAnsi" w:cstheme="minorHAnsi"/>
                <w:color w:val="000000"/>
                <w:sz w:val="18"/>
                <w:szCs w:val="18"/>
              </w:rPr>
              <w:t xml:space="preserve"> </w:t>
            </w:r>
            <w:r>
              <w:rPr>
                <w:rFonts w:asciiTheme="minorHAnsi" w:hAnsiTheme="minorHAnsi" w:cstheme="minorHAnsi"/>
                <w:color w:val="000000"/>
                <w:sz w:val="18"/>
                <w:szCs w:val="18"/>
              </w:rPr>
              <w:t xml:space="preserve"> 42</w:t>
            </w:r>
            <w:r w:rsidRPr="0000359D">
              <w:rPr>
                <w:rFonts w:asciiTheme="minorHAnsi" w:hAnsiTheme="minorHAnsi" w:cstheme="minorHAnsi"/>
                <w:color w:val="000000"/>
                <w:sz w:val="18"/>
                <w:szCs w:val="18"/>
              </w:rPr>
              <w:t>,</w:t>
            </w:r>
            <w:r>
              <w:rPr>
                <w:rFonts w:asciiTheme="minorHAnsi" w:hAnsiTheme="minorHAnsi" w:cstheme="minorHAnsi"/>
                <w:color w:val="000000"/>
                <w:sz w:val="18"/>
                <w:szCs w:val="18"/>
              </w:rPr>
              <w:t>046</w:t>
            </w:r>
          </w:p>
        </w:tc>
        <w:tc>
          <w:tcPr>
            <w:tcW w:w="2307" w:type="dxa"/>
            <w:noWrap/>
            <w:vAlign w:val="center"/>
          </w:tcPr>
          <w:p w14:paraId="737BA0FD" w14:textId="262760E1" w:rsidR="00D53E14" w:rsidRPr="00DE68A1" w:rsidRDefault="00D53E14" w:rsidP="00D53E14">
            <w:pPr>
              <w:bidi w:val="0"/>
              <w:jc w:val="right"/>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w:t>
            </w:r>
            <w:r w:rsidRPr="0000359D">
              <w:rPr>
                <w:rFonts w:asciiTheme="minorHAnsi" w:hAnsiTheme="minorHAnsi" w:cstheme="minorHAnsi"/>
                <w:color w:val="000000"/>
                <w:sz w:val="18"/>
                <w:szCs w:val="18"/>
              </w:rPr>
              <w:t>0</w:t>
            </w:r>
          </w:p>
        </w:tc>
        <w:tc>
          <w:tcPr>
            <w:tcW w:w="2148" w:type="dxa"/>
            <w:noWrap/>
            <w:vAlign w:val="center"/>
          </w:tcPr>
          <w:p w14:paraId="68DC0DB6" w14:textId="5C0F5E4A" w:rsidR="00D53E14" w:rsidRPr="00DE68A1" w:rsidRDefault="00D53E14" w:rsidP="00D53E14">
            <w:pPr>
              <w:bidi w:val="0"/>
              <w:jc w:val="right"/>
              <w:rPr>
                <w:rFonts w:asciiTheme="minorHAnsi" w:hAnsiTheme="minorHAnsi" w:cstheme="minorHAnsi"/>
                <w:color w:val="000000"/>
                <w:sz w:val="18"/>
                <w:szCs w:val="18"/>
                <w:rtl/>
              </w:rPr>
            </w:pPr>
            <w:r w:rsidRPr="0000359D">
              <w:rPr>
                <w:rFonts w:asciiTheme="minorHAnsi" w:hAnsiTheme="minorHAnsi" w:cstheme="minorHAnsi"/>
                <w:color w:val="000000"/>
                <w:sz w:val="18"/>
                <w:szCs w:val="18"/>
                <w:rtl/>
              </w:rPr>
              <w:t>0</w:t>
            </w:r>
          </w:p>
        </w:tc>
      </w:tr>
      <w:tr w:rsidR="00D53E14" w:rsidRPr="00DE68A1" w14:paraId="636542A9" w14:textId="77777777" w:rsidTr="000716C7">
        <w:trPr>
          <w:trHeight w:val="213"/>
        </w:trPr>
        <w:tc>
          <w:tcPr>
            <w:tcW w:w="2589" w:type="dxa"/>
            <w:noWrap/>
            <w:vAlign w:val="center"/>
            <w:hideMark/>
          </w:tcPr>
          <w:p w14:paraId="6B5939B1" w14:textId="77777777" w:rsidR="00D53E14" w:rsidRPr="00DE68A1" w:rsidRDefault="00D53E14" w:rsidP="00D53E14">
            <w:pPr>
              <w:jc w:val="right"/>
              <w:rPr>
                <w:rFonts w:asciiTheme="minorHAnsi" w:hAnsiTheme="minorHAnsi" w:cstheme="minorHAnsi"/>
                <w:color w:val="000000"/>
                <w:sz w:val="18"/>
                <w:szCs w:val="18"/>
                <w:rtl/>
              </w:rPr>
            </w:pPr>
            <w:r w:rsidRPr="00DE68A1">
              <w:rPr>
                <w:rFonts w:asciiTheme="minorHAnsi" w:hAnsiTheme="minorHAnsi" w:cstheme="minorHAnsi"/>
                <w:color w:val="000000"/>
                <w:sz w:val="18"/>
                <w:szCs w:val="18"/>
              </w:rPr>
              <w:t>GAP</w:t>
            </w:r>
          </w:p>
        </w:tc>
        <w:tc>
          <w:tcPr>
            <w:tcW w:w="2004" w:type="dxa"/>
            <w:noWrap/>
            <w:vAlign w:val="center"/>
          </w:tcPr>
          <w:p w14:paraId="59071C55" w14:textId="5F71ACC4" w:rsidR="00D53E14" w:rsidRPr="00DE68A1" w:rsidRDefault="00D53E14" w:rsidP="00D53E14">
            <w:pPr>
              <w:bidi w:val="0"/>
              <w:jc w:val="right"/>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w:t>
            </w:r>
            <w:r w:rsidRPr="0000359D">
              <w:rPr>
                <w:rFonts w:asciiTheme="minorHAnsi" w:hAnsiTheme="minorHAnsi" w:cstheme="minorHAnsi"/>
                <w:color w:val="000000"/>
                <w:sz w:val="18"/>
                <w:szCs w:val="18"/>
              </w:rPr>
              <w:t>(</w:t>
            </w:r>
            <w:r>
              <w:rPr>
                <w:rFonts w:asciiTheme="minorHAnsi" w:hAnsiTheme="minorHAnsi" w:cstheme="minorHAnsi"/>
                <w:color w:val="000000"/>
                <w:sz w:val="18"/>
                <w:szCs w:val="18"/>
              </w:rPr>
              <w:t>18,671</w:t>
            </w:r>
            <w:r w:rsidRPr="0000359D">
              <w:rPr>
                <w:rFonts w:asciiTheme="minorHAnsi" w:hAnsiTheme="minorHAnsi" w:cstheme="minorHAnsi"/>
                <w:color w:val="000000"/>
                <w:sz w:val="18"/>
                <w:szCs w:val="18"/>
              </w:rPr>
              <w:t>)</w:t>
            </w:r>
          </w:p>
        </w:tc>
        <w:tc>
          <w:tcPr>
            <w:tcW w:w="2307" w:type="dxa"/>
            <w:noWrap/>
            <w:vAlign w:val="center"/>
          </w:tcPr>
          <w:p w14:paraId="00D6CB6A" w14:textId="07DD34CA" w:rsidR="00D53E14" w:rsidRPr="00DE68A1" w:rsidRDefault="00D53E14" w:rsidP="00D53E14">
            <w:pPr>
              <w:bidi w:val="0"/>
              <w:jc w:val="right"/>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w:t>
            </w:r>
            <w:r w:rsidRPr="0000359D">
              <w:rPr>
                <w:rFonts w:asciiTheme="minorHAnsi" w:hAnsiTheme="minorHAnsi" w:cstheme="minorHAnsi"/>
                <w:color w:val="000000"/>
                <w:sz w:val="18"/>
                <w:szCs w:val="18"/>
              </w:rPr>
              <w:t>0</w:t>
            </w:r>
          </w:p>
        </w:tc>
        <w:tc>
          <w:tcPr>
            <w:tcW w:w="2148" w:type="dxa"/>
            <w:noWrap/>
            <w:vAlign w:val="center"/>
          </w:tcPr>
          <w:p w14:paraId="4B464F83" w14:textId="477514E4" w:rsidR="00D53E14" w:rsidRPr="00DE68A1" w:rsidRDefault="00D53E14" w:rsidP="00D53E14">
            <w:pPr>
              <w:bidi w:val="0"/>
              <w:jc w:val="right"/>
              <w:rPr>
                <w:rFonts w:asciiTheme="minorHAnsi" w:hAnsiTheme="minorHAnsi" w:cstheme="minorHAnsi"/>
                <w:color w:val="000000"/>
                <w:sz w:val="18"/>
                <w:szCs w:val="18"/>
                <w:rtl/>
              </w:rPr>
            </w:pPr>
            <w:r w:rsidRPr="0000359D">
              <w:rPr>
                <w:rFonts w:asciiTheme="minorHAnsi" w:hAnsiTheme="minorHAnsi" w:cstheme="minorHAnsi"/>
                <w:color w:val="000000"/>
                <w:sz w:val="18"/>
                <w:szCs w:val="18"/>
                <w:rtl/>
              </w:rPr>
              <w:t>0</w:t>
            </w:r>
          </w:p>
        </w:tc>
      </w:tr>
      <w:tr w:rsidR="00D53E14" w:rsidRPr="00DE68A1" w14:paraId="7EE00108" w14:textId="77777777" w:rsidTr="000716C7">
        <w:trPr>
          <w:trHeight w:val="213"/>
        </w:trPr>
        <w:tc>
          <w:tcPr>
            <w:tcW w:w="2589" w:type="dxa"/>
            <w:noWrap/>
            <w:vAlign w:val="center"/>
            <w:hideMark/>
          </w:tcPr>
          <w:p w14:paraId="3EBB2C2E" w14:textId="77777777" w:rsidR="00D53E14" w:rsidRPr="00DE68A1" w:rsidRDefault="00D53E14" w:rsidP="00D53E14">
            <w:pPr>
              <w:jc w:val="right"/>
              <w:rPr>
                <w:rFonts w:asciiTheme="minorHAnsi" w:hAnsiTheme="minorHAnsi" w:cstheme="minorHAnsi"/>
                <w:color w:val="000000"/>
                <w:sz w:val="18"/>
                <w:szCs w:val="18"/>
                <w:rtl/>
              </w:rPr>
            </w:pPr>
            <w:r w:rsidRPr="00DE68A1">
              <w:rPr>
                <w:rFonts w:asciiTheme="minorHAnsi" w:hAnsiTheme="minorHAnsi" w:cstheme="minorHAnsi"/>
                <w:color w:val="000000"/>
                <w:sz w:val="18"/>
                <w:szCs w:val="18"/>
              </w:rPr>
              <w:t>Cumulative GAP</w:t>
            </w:r>
          </w:p>
        </w:tc>
        <w:tc>
          <w:tcPr>
            <w:tcW w:w="2004" w:type="dxa"/>
            <w:noWrap/>
            <w:vAlign w:val="center"/>
          </w:tcPr>
          <w:p w14:paraId="2D9AB1EF" w14:textId="713EF453" w:rsidR="00D53E14" w:rsidRPr="00DE68A1" w:rsidRDefault="00D53E14" w:rsidP="00D53E14">
            <w:pPr>
              <w:bidi w:val="0"/>
              <w:jc w:val="right"/>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w:t>
            </w:r>
            <w:r w:rsidRPr="0000359D">
              <w:rPr>
                <w:rFonts w:asciiTheme="minorHAnsi" w:hAnsiTheme="minorHAnsi" w:cstheme="minorHAnsi"/>
                <w:color w:val="000000"/>
                <w:sz w:val="18"/>
                <w:szCs w:val="18"/>
              </w:rPr>
              <w:t>(</w:t>
            </w:r>
            <w:r>
              <w:rPr>
                <w:rFonts w:asciiTheme="minorHAnsi" w:hAnsiTheme="minorHAnsi" w:cstheme="minorHAnsi"/>
                <w:color w:val="000000"/>
                <w:sz w:val="18"/>
                <w:szCs w:val="18"/>
              </w:rPr>
              <w:t>18,671</w:t>
            </w:r>
            <w:r w:rsidRPr="0000359D">
              <w:rPr>
                <w:rFonts w:asciiTheme="minorHAnsi" w:hAnsiTheme="minorHAnsi" w:cstheme="minorHAnsi"/>
                <w:color w:val="000000"/>
                <w:sz w:val="18"/>
                <w:szCs w:val="18"/>
              </w:rPr>
              <w:t>)</w:t>
            </w:r>
          </w:p>
        </w:tc>
        <w:tc>
          <w:tcPr>
            <w:tcW w:w="2307" w:type="dxa"/>
            <w:noWrap/>
            <w:vAlign w:val="center"/>
          </w:tcPr>
          <w:p w14:paraId="22A8F3C5" w14:textId="2591543B" w:rsidR="00D53E14" w:rsidRPr="00DE68A1" w:rsidRDefault="00D53E14" w:rsidP="00D53E14">
            <w:pPr>
              <w:bidi w:val="0"/>
              <w:jc w:val="right"/>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w:t>
            </w:r>
            <w:r w:rsidRPr="0000359D">
              <w:rPr>
                <w:rFonts w:asciiTheme="minorHAnsi" w:hAnsiTheme="minorHAnsi" w:cstheme="minorHAnsi"/>
                <w:color w:val="000000"/>
                <w:sz w:val="18"/>
                <w:szCs w:val="18"/>
              </w:rPr>
              <w:t>(</w:t>
            </w:r>
            <w:r>
              <w:rPr>
                <w:rFonts w:asciiTheme="minorHAnsi" w:hAnsiTheme="minorHAnsi" w:cstheme="minorHAnsi"/>
                <w:color w:val="000000"/>
                <w:sz w:val="18"/>
                <w:szCs w:val="18"/>
              </w:rPr>
              <w:t>18,671</w:t>
            </w:r>
            <w:r w:rsidRPr="0000359D">
              <w:rPr>
                <w:rFonts w:asciiTheme="minorHAnsi" w:hAnsiTheme="minorHAnsi" w:cstheme="minorHAnsi"/>
                <w:color w:val="000000"/>
                <w:sz w:val="18"/>
                <w:szCs w:val="18"/>
              </w:rPr>
              <w:t>)</w:t>
            </w:r>
          </w:p>
        </w:tc>
        <w:tc>
          <w:tcPr>
            <w:tcW w:w="2148" w:type="dxa"/>
            <w:noWrap/>
            <w:vAlign w:val="center"/>
          </w:tcPr>
          <w:p w14:paraId="469C8D28" w14:textId="6B6426B9" w:rsidR="00D53E14" w:rsidRPr="00DE68A1" w:rsidRDefault="00D53E14" w:rsidP="00D53E14">
            <w:pPr>
              <w:bidi w:val="0"/>
              <w:jc w:val="right"/>
              <w:rPr>
                <w:rFonts w:asciiTheme="minorHAnsi" w:hAnsiTheme="minorHAnsi" w:cstheme="minorHAnsi"/>
                <w:color w:val="000000"/>
                <w:sz w:val="18"/>
                <w:szCs w:val="18"/>
                <w:rtl/>
              </w:rPr>
            </w:pPr>
            <w:r w:rsidRPr="0000359D">
              <w:rPr>
                <w:rFonts w:asciiTheme="minorHAnsi" w:hAnsiTheme="minorHAnsi" w:cstheme="minorHAnsi"/>
                <w:color w:val="000000"/>
                <w:sz w:val="18"/>
                <w:szCs w:val="18"/>
              </w:rPr>
              <w:t>(</w:t>
            </w:r>
            <w:r>
              <w:rPr>
                <w:rFonts w:asciiTheme="minorHAnsi" w:hAnsiTheme="minorHAnsi" w:cstheme="minorHAnsi"/>
                <w:color w:val="000000"/>
                <w:sz w:val="18"/>
                <w:szCs w:val="18"/>
              </w:rPr>
              <w:t>18,671</w:t>
            </w:r>
            <w:r w:rsidRPr="0000359D">
              <w:rPr>
                <w:rFonts w:asciiTheme="minorHAnsi" w:hAnsiTheme="minorHAnsi" w:cstheme="minorHAnsi"/>
                <w:color w:val="000000"/>
                <w:sz w:val="18"/>
                <w:szCs w:val="18"/>
              </w:rPr>
              <w:t>)</w:t>
            </w:r>
          </w:p>
        </w:tc>
      </w:tr>
      <w:tr w:rsidR="00D53E14" w:rsidRPr="00DE68A1" w14:paraId="54707E54" w14:textId="77777777" w:rsidTr="00FC0E27">
        <w:trPr>
          <w:trHeight w:val="340"/>
        </w:trPr>
        <w:tc>
          <w:tcPr>
            <w:tcW w:w="6900" w:type="dxa"/>
            <w:gridSpan w:val="3"/>
            <w:noWrap/>
            <w:vAlign w:val="center"/>
            <w:hideMark/>
          </w:tcPr>
          <w:p w14:paraId="72949760" w14:textId="1034734A" w:rsidR="00D53E14" w:rsidRPr="00DE68A1" w:rsidRDefault="00D53E14" w:rsidP="00D53E14">
            <w:pPr>
              <w:jc w:val="right"/>
              <w:rPr>
                <w:rFonts w:asciiTheme="minorHAnsi" w:hAnsiTheme="minorHAnsi" w:cstheme="minorHAnsi"/>
                <w:b/>
                <w:bCs/>
                <w:color w:val="000000"/>
                <w:sz w:val="18"/>
                <w:szCs w:val="18"/>
                <w:rtl/>
              </w:rPr>
            </w:pPr>
            <w:r w:rsidRPr="00DE68A1">
              <w:rPr>
                <w:rFonts w:asciiTheme="minorHAnsi" w:hAnsiTheme="minorHAnsi" w:cstheme="minorHAnsi"/>
                <w:b/>
                <w:bCs/>
                <w:color w:val="000000"/>
                <w:sz w:val="18"/>
                <w:szCs w:val="18"/>
              </w:rPr>
              <w:t>Sensitivity to 1% interest rate change (in KD terms, after conversion)</w:t>
            </w:r>
          </w:p>
        </w:tc>
        <w:tc>
          <w:tcPr>
            <w:tcW w:w="2148" w:type="dxa"/>
            <w:noWrap/>
            <w:vAlign w:val="center"/>
            <w:hideMark/>
          </w:tcPr>
          <w:p w14:paraId="4980274D" w14:textId="46F4BC96" w:rsidR="00D53E14" w:rsidRPr="00DE68A1" w:rsidRDefault="00D53E14" w:rsidP="00D53E14">
            <w:pPr>
              <w:rPr>
                <w:rFonts w:ascii="Calibri" w:hAnsi="Calibri" w:cs="Calibri"/>
                <w:color w:val="000000"/>
                <w:sz w:val="18"/>
                <w:szCs w:val="18"/>
                <w:rtl/>
              </w:rPr>
            </w:pPr>
            <w:r w:rsidRPr="00DE68A1">
              <w:rPr>
                <w:rFonts w:ascii="Calibri" w:hAnsi="Calibri" w:cs="Calibri"/>
                <w:color w:val="000000"/>
                <w:sz w:val="18"/>
                <w:szCs w:val="18"/>
              </w:rPr>
              <w:t>(187)</w:t>
            </w:r>
          </w:p>
        </w:tc>
      </w:tr>
      <w:tr w:rsidR="00D53E14" w:rsidRPr="00DE68A1" w14:paraId="0BCD9922" w14:textId="77777777" w:rsidTr="00FC0E27">
        <w:trPr>
          <w:trHeight w:val="385"/>
        </w:trPr>
        <w:tc>
          <w:tcPr>
            <w:tcW w:w="6900" w:type="dxa"/>
            <w:gridSpan w:val="3"/>
            <w:noWrap/>
            <w:vAlign w:val="center"/>
            <w:hideMark/>
          </w:tcPr>
          <w:p w14:paraId="7AAB2FAF" w14:textId="3343548B" w:rsidR="00D53E14" w:rsidRPr="00DE68A1" w:rsidRDefault="00D53E14" w:rsidP="00D53E14">
            <w:pPr>
              <w:jc w:val="right"/>
              <w:rPr>
                <w:rFonts w:asciiTheme="minorHAnsi" w:hAnsiTheme="minorHAnsi" w:cstheme="minorHAnsi"/>
                <w:b/>
                <w:bCs/>
                <w:color w:val="000000"/>
                <w:sz w:val="18"/>
                <w:szCs w:val="18"/>
                <w:rtl/>
              </w:rPr>
            </w:pPr>
            <w:r w:rsidRPr="00DE68A1">
              <w:rPr>
                <w:rFonts w:asciiTheme="minorHAnsi" w:hAnsiTheme="minorHAnsi" w:cstheme="minorHAnsi"/>
                <w:b/>
                <w:bCs/>
                <w:color w:val="000000"/>
                <w:sz w:val="18"/>
                <w:szCs w:val="18"/>
              </w:rPr>
              <w:t>Overall Interest Rate Sensitivity (Combine Position) for 1% Interest Rate Change</w:t>
            </w:r>
          </w:p>
        </w:tc>
        <w:tc>
          <w:tcPr>
            <w:tcW w:w="2148" w:type="dxa"/>
            <w:noWrap/>
            <w:vAlign w:val="center"/>
            <w:hideMark/>
          </w:tcPr>
          <w:p w14:paraId="14513E3E" w14:textId="68FD070B" w:rsidR="00D53E14" w:rsidRPr="00DE68A1" w:rsidRDefault="00D53E14" w:rsidP="00D53E14">
            <w:pPr>
              <w:bidi w:val="0"/>
              <w:jc w:val="right"/>
              <w:rPr>
                <w:rFonts w:asciiTheme="minorHAnsi" w:hAnsiTheme="minorHAnsi" w:cstheme="minorHAnsi"/>
                <w:b/>
                <w:bCs/>
                <w:color w:val="000000"/>
                <w:sz w:val="18"/>
                <w:szCs w:val="18"/>
                <w:rtl/>
              </w:rPr>
            </w:pPr>
            <w:r w:rsidRPr="00DE68A1">
              <w:rPr>
                <w:rFonts w:asciiTheme="minorHAnsi" w:hAnsiTheme="minorHAnsi" w:cstheme="minorHAnsi"/>
                <w:b/>
                <w:bCs/>
                <w:color w:val="000000"/>
                <w:sz w:val="18"/>
                <w:szCs w:val="18"/>
              </w:rPr>
              <w:t xml:space="preserve"> 2</w:t>
            </w:r>
            <w:r w:rsidR="008C5AEF">
              <w:rPr>
                <w:rFonts w:asciiTheme="minorHAnsi" w:hAnsiTheme="minorHAnsi" w:cstheme="minorHAnsi"/>
                <w:b/>
                <w:bCs/>
                <w:color w:val="000000"/>
                <w:sz w:val="18"/>
                <w:szCs w:val="18"/>
              </w:rPr>
              <w:t>,</w:t>
            </w:r>
            <w:r w:rsidRPr="00DE68A1">
              <w:rPr>
                <w:rFonts w:asciiTheme="minorHAnsi" w:hAnsiTheme="minorHAnsi" w:cstheme="minorHAnsi"/>
                <w:b/>
                <w:bCs/>
                <w:color w:val="000000"/>
                <w:sz w:val="18"/>
                <w:szCs w:val="18"/>
              </w:rPr>
              <w:t>781</w:t>
            </w:r>
          </w:p>
        </w:tc>
      </w:tr>
    </w:tbl>
    <w:p w14:paraId="56674D1E" w14:textId="77777777" w:rsidR="00CA2C9D" w:rsidRDefault="00CA2C9D" w:rsidP="00CA18DA">
      <w:pPr>
        <w:pStyle w:val="BodyText"/>
        <w:rPr>
          <w:b/>
          <w:bCs/>
        </w:rPr>
      </w:pPr>
    </w:p>
    <w:p w14:paraId="00186F21" w14:textId="7E2E6F0D" w:rsidR="00CA18DA" w:rsidRPr="00DE68A1" w:rsidRDefault="00CA18DA" w:rsidP="00CA18DA">
      <w:pPr>
        <w:pStyle w:val="BodyText"/>
        <w:rPr>
          <w:b/>
          <w:bCs/>
        </w:rPr>
      </w:pPr>
      <w:r w:rsidRPr="00DE68A1">
        <w:rPr>
          <w:b/>
          <w:bCs/>
        </w:rPr>
        <w:t xml:space="preserve">Liquidity Risk Management: </w:t>
      </w:r>
    </w:p>
    <w:p w14:paraId="446BF218" w14:textId="77777777" w:rsidR="00CA18DA" w:rsidRPr="00DE68A1" w:rsidRDefault="00CA18DA" w:rsidP="00CA18DA">
      <w:pPr>
        <w:pStyle w:val="BodyText"/>
        <w:rPr>
          <w:color w:val="000000"/>
        </w:rPr>
      </w:pPr>
    </w:p>
    <w:p w14:paraId="0C98B8DB" w14:textId="3715666B" w:rsidR="001B7F7C" w:rsidRPr="00DE68A1" w:rsidRDefault="001B7F7C" w:rsidP="001B7F7C">
      <w:pPr>
        <w:bidi w:val="0"/>
        <w:spacing w:after="200" w:line="276" w:lineRule="auto"/>
        <w:jc w:val="both"/>
        <w:rPr>
          <w:rFonts w:eastAsia="Calibri"/>
        </w:rPr>
      </w:pPr>
      <w:r w:rsidRPr="00DE68A1">
        <w:rPr>
          <w:rFonts w:eastAsia="Calibri"/>
        </w:rPr>
        <w:t xml:space="preserve">Liquidity risk is the risk </w:t>
      </w:r>
      <w:r w:rsidR="00B62E50" w:rsidRPr="00DE68A1">
        <w:rPr>
          <w:rFonts w:eastAsia="Calibri"/>
        </w:rPr>
        <w:t>of</w:t>
      </w:r>
      <w:r w:rsidRPr="00DE68A1">
        <w:rPr>
          <w:rFonts w:eastAsia="Calibri"/>
        </w:rPr>
        <w:t xml:space="preserve"> earnings or capital arising from a bank’s inability to meet its obligations or commitments to a customer, creditor, or investor as they fall due without incurring unacceptable losses. It generally arises from a failure to recognize or address changes in market conditions that affect the ability to liquidate assets (i.e. convert them to cash) quickly and with minimal loss in value. </w:t>
      </w:r>
    </w:p>
    <w:p w14:paraId="29F5FE58" w14:textId="176B8B10" w:rsidR="001B7F7C" w:rsidRPr="00DE68A1" w:rsidRDefault="001B7F7C" w:rsidP="001B7F7C">
      <w:pPr>
        <w:bidi w:val="0"/>
        <w:spacing w:after="200" w:line="276" w:lineRule="auto"/>
        <w:jc w:val="both"/>
        <w:rPr>
          <w:rFonts w:eastAsia="Calibri"/>
        </w:rPr>
      </w:pPr>
      <w:r w:rsidRPr="00DE68A1">
        <w:rPr>
          <w:rFonts w:eastAsia="Calibri"/>
        </w:rPr>
        <w:t xml:space="preserve">The primary objective for IBK is to ensure that the Bank has sufficient liquidity to meet its obligations in both normal </w:t>
      </w:r>
      <w:r w:rsidR="007F4478" w:rsidRPr="00DE68A1">
        <w:rPr>
          <w:rFonts w:eastAsia="Calibri"/>
        </w:rPr>
        <w:t>and</w:t>
      </w:r>
      <w:r w:rsidRPr="00DE68A1">
        <w:rPr>
          <w:rFonts w:eastAsia="Calibri"/>
        </w:rPr>
        <w:t xml:space="preserve"> </w:t>
      </w:r>
      <w:r w:rsidR="001B4EC2">
        <w:rPr>
          <w:rFonts w:eastAsia="Calibri"/>
        </w:rPr>
        <w:t>under stress</w:t>
      </w:r>
      <w:r w:rsidR="007F4478">
        <w:rPr>
          <w:rFonts w:eastAsia="Calibri"/>
        </w:rPr>
        <w:t xml:space="preserve"> conditions</w:t>
      </w:r>
      <w:r w:rsidR="001B4EC2" w:rsidRPr="00DE68A1">
        <w:rPr>
          <w:rFonts w:eastAsia="Calibri"/>
        </w:rPr>
        <w:t xml:space="preserve"> </w:t>
      </w:r>
      <w:r w:rsidRPr="00DE68A1">
        <w:rPr>
          <w:rFonts w:eastAsia="Calibri"/>
        </w:rPr>
        <w:t xml:space="preserve">without having to make emergency and unplanned sales of assets or be forced to borrow expensive funds under emergency conditions. </w:t>
      </w:r>
    </w:p>
    <w:p w14:paraId="61E966A3" w14:textId="28B65575" w:rsidR="001B7F7C" w:rsidRPr="00DE68A1" w:rsidRDefault="001B7F7C" w:rsidP="001B7F7C">
      <w:pPr>
        <w:bidi w:val="0"/>
        <w:spacing w:after="200" w:line="276" w:lineRule="auto"/>
        <w:jc w:val="both"/>
        <w:rPr>
          <w:rFonts w:eastAsia="Calibri"/>
        </w:rPr>
      </w:pPr>
      <w:r w:rsidRPr="00DE68A1">
        <w:rPr>
          <w:rFonts w:eastAsia="Calibri"/>
        </w:rPr>
        <w:t xml:space="preserve">The Board has established an appropriate liquidity policy for the management of the Bank’s funding and liquidity management requirements. The Bank’s Asset and Liability Committee (“ALCO”) oversees the implementation of the liquidity policy and risk management plays an active role with the CRO being a part of the Committee and the risk management department performing a risk-monitoring role. The Bank’s senior management manages liquidity risk effectively in the context of the Bank’s business plan and </w:t>
      </w:r>
      <w:r w:rsidR="008D15BF" w:rsidRPr="00DE68A1">
        <w:rPr>
          <w:rFonts w:eastAsia="Calibri"/>
        </w:rPr>
        <w:t>long-term</w:t>
      </w:r>
      <w:r w:rsidRPr="00DE68A1">
        <w:rPr>
          <w:rFonts w:eastAsia="Calibri"/>
        </w:rPr>
        <w:t xml:space="preserve"> funding strategy, </w:t>
      </w:r>
      <w:r w:rsidR="00961443" w:rsidRPr="00DE68A1">
        <w:rPr>
          <w:rFonts w:eastAsia="Calibri"/>
        </w:rPr>
        <w:t>considering</w:t>
      </w:r>
      <w:r w:rsidRPr="00DE68A1">
        <w:rPr>
          <w:rFonts w:eastAsia="Calibri"/>
        </w:rPr>
        <w:t xml:space="preserve"> prevailing economic and financial conditions and currency needs. To this end, the Board has set limit and tolerance levels for its liquidity risk </w:t>
      </w:r>
      <w:r w:rsidR="00F13429" w:rsidRPr="00DE68A1">
        <w:rPr>
          <w:rFonts w:eastAsia="Calibri"/>
        </w:rPr>
        <w:t>appetite,</w:t>
      </w:r>
      <w:r w:rsidRPr="00DE68A1">
        <w:rPr>
          <w:rFonts w:eastAsia="Calibri"/>
        </w:rPr>
        <w:t xml:space="preserve"> which is monitored by risk management and reported regularly to the Board Risk Committee.</w:t>
      </w:r>
    </w:p>
    <w:p w14:paraId="4C7057B6" w14:textId="66D6903F" w:rsidR="001B7F7C" w:rsidRPr="00DE68A1" w:rsidRDefault="001B7F7C" w:rsidP="001B7F7C">
      <w:pPr>
        <w:bidi w:val="0"/>
        <w:spacing w:after="200" w:line="276" w:lineRule="auto"/>
        <w:jc w:val="both"/>
        <w:rPr>
          <w:rFonts w:eastAsia="Calibri"/>
        </w:rPr>
      </w:pPr>
      <w:r w:rsidRPr="00DE68A1">
        <w:rPr>
          <w:rFonts w:eastAsia="Calibri"/>
        </w:rPr>
        <w:t xml:space="preserve"> The Bank through its Treasury Department manages liquidity risk on a continuous basis within established liquidity risk management policies and limits. This involves monitoring and managing several liquidity metrics, a portfolio of </w:t>
      </w:r>
      <w:r w:rsidR="008D15BF" w:rsidRPr="00DE68A1">
        <w:rPr>
          <w:rFonts w:eastAsia="Calibri"/>
        </w:rPr>
        <w:t>high-quality</w:t>
      </w:r>
      <w:r w:rsidRPr="00DE68A1">
        <w:rPr>
          <w:rFonts w:eastAsia="Calibri"/>
        </w:rPr>
        <w:t xml:space="preserve"> liquid assets, reserves, and the continuous monitoring of forecast and actual cash flows together with institutional relationships as funding sources. In addition, the Bank uses liquidity ratios (LCR, NSFR) and liquidity scenarios, regular and stressed together with volatility tracking, as key metrics to establish its liquidity risk tolerance levels, which are built into the risk appetite statement. These metrics measure the Bank’s ability to fulfill all its payment obligations stemming from ongoing business operations under various scenarios. </w:t>
      </w:r>
    </w:p>
    <w:p w14:paraId="4CBF644D" w14:textId="360ECB76" w:rsidR="001B7F7C" w:rsidRPr="00DE68A1" w:rsidRDefault="001B7F7C" w:rsidP="001B7F7C">
      <w:pPr>
        <w:bidi w:val="0"/>
        <w:spacing w:after="200" w:line="276" w:lineRule="auto"/>
        <w:jc w:val="both"/>
        <w:rPr>
          <w:rFonts w:eastAsia="Calibri"/>
        </w:rPr>
      </w:pPr>
      <w:r w:rsidRPr="00DE68A1">
        <w:rPr>
          <w:rFonts w:eastAsia="Calibri"/>
        </w:rPr>
        <w:lastRenderedPageBreak/>
        <w:t xml:space="preserve"> The Bank’s Treasury Department is responsible for maintaining effective communication channels within the Bank’s operational and business areas to alert the funding desks of imminent funding requirements including loan drawdowns, deposit withdrawals and off-balance sheet commitments. Business departments provide Treasury with their forecasts and actual trends within ALCO. </w:t>
      </w:r>
    </w:p>
    <w:p w14:paraId="3F267D77" w14:textId="3431459B" w:rsidR="001B7F7C" w:rsidRPr="00DE68A1" w:rsidRDefault="001B7F7C" w:rsidP="001B7F7C">
      <w:pPr>
        <w:bidi w:val="0"/>
        <w:spacing w:after="200" w:line="276" w:lineRule="auto"/>
        <w:jc w:val="both"/>
        <w:rPr>
          <w:rFonts w:eastAsia="Calibri"/>
        </w:rPr>
      </w:pPr>
      <w:r w:rsidRPr="00DE68A1">
        <w:rPr>
          <w:rFonts w:eastAsia="Calibri"/>
        </w:rPr>
        <w:t xml:space="preserve"> The Risk Management function periodically reviews liquidity risk policies and procedures and the adequacy of these policies and the overall liquidity management process.  It also monitors and reports adherence to the various liquidity ratios and limits, both internal and </w:t>
      </w:r>
      <w:r w:rsidR="00F13429" w:rsidRPr="00DE68A1">
        <w:rPr>
          <w:rFonts w:eastAsia="Calibri"/>
        </w:rPr>
        <w:t>regulatory,</w:t>
      </w:r>
      <w:r w:rsidRPr="00DE68A1">
        <w:rPr>
          <w:rFonts w:eastAsia="Calibri"/>
        </w:rPr>
        <w:t xml:space="preserve"> on a regular basis. It also monitors asset liability gaps and adherence to limits. A strong plus in the term structure of funding is the long-term loan from the government available on a </w:t>
      </w:r>
      <w:r w:rsidR="00F13429" w:rsidRPr="00DE68A1">
        <w:rPr>
          <w:rFonts w:eastAsia="Calibri"/>
        </w:rPr>
        <w:t>rollover</w:t>
      </w:r>
      <w:r w:rsidRPr="00DE68A1">
        <w:rPr>
          <w:rFonts w:eastAsia="Calibri"/>
        </w:rPr>
        <w:t xml:space="preserve"> basis that funds the long-term developmental finance provided by the bank, which obviates the need to use short term liabilities to fund long term assets, thus covering risks. The Bank maintains excess liquidity in the form of cash and unencumbered high-quality liquid securities that together serve as the Bank’s primary means of liquidity risk mitigation. </w:t>
      </w:r>
    </w:p>
    <w:p w14:paraId="0828448F" w14:textId="77777777" w:rsidR="001B7F7C" w:rsidRPr="00DE68A1" w:rsidRDefault="001B7F7C" w:rsidP="001B7F7C">
      <w:pPr>
        <w:bidi w:val="0"/>
        <w:spacing w:after="200" w:line="276" w:lineRule="auto"/>
        <w:jc w:val="both"/>
        <w:rPr>
          <w:rFonts w:eastAsia="Calibri"/>
        </w:rPr>
      </w:pPr>
      <w:r w:rsidRPr="00DE68A1">
        <w:rPr>
          <w:rFonts w:eastAsia="Calibri"/>
        </w:rPr>
        <w:t xml:space="preserve">Stress Testing </w:t>
      </w:r>
    </w:p>
    <w:p w14:paraId="62D363F2" w14:textId="77777777" w:rsidR="001B7F7C" w:rsidRPr="00DE68A1" w:rsidRDefault="001B7F7C" w:rsidP="00C169C1">
      <w:pPr>
        <w:bidi w:val="0"/>
        <w:spacing w:after="200" w:line="276" w:lineRule="auto"/>
        <w:jc w:val="both"/>
        <w:rPr>
          <w:rFonts w:eastAsia="Calibri"/>
        </w:rPr>
      </w:pPr>
      <w:r w:rsidRPr="00DE68A1">
        <w:rPr>
          <w:rFonts w:eastAsia="Calibri"/>
        </w:rPr>
        <w:t xml:space="preserve">The Bank’s Liquidity management policies and limits ensure that liquidity is maintained at sufficiently comfortable levels to support operations and meet payment demands even under stressed market conditions. Stress testing is integrated into the Bank’s liquidity risk management and assesses the Bank’s ability to generate sufficient liquidity under extreme conditions and is a key input when defining liquidity targets and limits. </w:t>
      </w:r>
    </w:p>
    <w:p w14:paraId="4B3C8356" w14:textId="77777777" w:rsidR="001B7F7C" w:rsidRPr="00DE68A1" w:rsidRDefault="001B7F7C" w:rsidP="001B7F7C">
      <w:pPr>
        <w:bidi w:val="0"/>
        <w:spacing w:after="200" w:line="276" w:lineRule="auto"/>
        <w:jc w:val="both"/>
        <w:rPr>
          <w:rFonts w:eastAsia="Calibri"/>
        </w:rPr>
      </w:pPr>
      <w:r w:rsidRPr="00DE68A1">
        <w:rPr>
          <w:rFonts w:eastAsia="Calibri"/>
        </w:rPr>
        <w:t xml:space="preserve">Other Qualitative Information </w:t>
      </w:r>
    </w:p>
    <w:p w14:paraId="4349A8F0" w14:textId="370B8CEF" w:rsidR="001B7F7C" w:rsidRPr="00DE68A1" w:rsidRDefault="001B7F7C" w:rsidP="001B7F7C">
      <w:pPr>
        <w:bidi w:val="0"/>
        <w:spacing w:after="200" w:line="276" w:lineRule="auto"/>
        <w:jc w:val="both"/>
        <w:rPr>
          <w:rFonts w:eastAsia="Calibri"/>
        </w:rPr>
      </w:pPr>
      <w:r w:rsidRPr="00DE68A1">
        <w:rPr>
          <w:rFonts w:eastAsia="Calibri"/>
        </w:rPr>
        <w:t xml:space="preserve">The Liquidity Coverage Ratio (LCR) is a Basel III metric that measures the sufficiency of </w:t>
      </w:r>
      <w:r w:rsidR="008D15BF" w:rsidRPr="00DE68A1">
        <w:rPr>
          <w:rFonts w:eastAsia="Calibri"/>
        </w:rPr>
        <w:t>High-Quality</w:t>
      </w:r>
      <w:r w:rsidRPr="00DE68A1">
        <w:rPr>
          <w:rFonts w:eastAsia="Calibri"/>
        </w:rPr>
        <w:t xml:space="preserve"> Liquid Assets (HQLA) available to meet net short-term financial obligations over a </w:t>
      </w:r>
      <w:r w:rsidR="008D15BF" w:rsidRPr="00DE68A1">
        <w:rPr>
          <w:rFonts w:eastAsia="Calibri"/>
        </w:rPr>
        <w:t>thirty-day</w:t>
      </w:r>
      <w:r w:rsidRPr="00DE68A1">
        <w:rPr>
          <w:rFonts w:eastAsia="Calibri"/>
        </w:rPr>
        <w:t xml:space="preserve"> period in an acute stress scenario. HQLAs are assets which can be easily and immediately converted into cash at little or no loss of value. </w:t>
      </w:r>
    </w:p>
    <w:p w14:paraId="4725C4CE" w14:textId="77777777" w:rsidR="001B7F7C" w:rsidRPr="00DE68A1" w:rsidRDefault="001B7F7C" w:rsidP="001B7F7C">
      <w:pPr>
        <w:bidi w:val="0"/>
        <w:spacing w:after="200" w:line="276" w:lineRule="auto"/>
        <w:jc w:val="both"/>
        <w:rPr>
          <w:rFonts w:eastAsia="Calibri"/>
        </w:rPr>
      </w:pPr>
      <w:r w:rsidRPr="00DE68A1">
        <w:rPr>
          <w:rFonts w:eastAsia="Calibri"/>
        </w:rPr>
        <w:t xml:space="preserve">In December 2014, CBK released the final guideline on “Liquidity Coverage Ratio Disclosure Standards”, requiring banks to disclose the LCR ratio beginning in Q1, 2016. LCR is disclosed using CBK’s template and is calculated using the average of daily positions during the quarter. </w:t>
      </w:r>
    </w:p>
    <w:p w14:paraId="0EFBDD65" w14:textId="77777777" w:rsidR="001B7F7C" w:rsidRPr="00DE68A1" w:rsidRDefault="001B7F7C" w:rsidP="001B7F7C">
      <w:pPr>
        <w:bidi w:val="0"/>
        <w:spacing w:after="200" w:line="276" w:lineRule="auto"/>
        <w:jc w:val="both"/>
        <w:rPr>
          <w:rFonts w:eastAsia="Calibri"/>
        </w:rPr>
      </w:pPr>
      <w:r w:rsidRPr="00DE68A1">
        <w:rPr>
          <w:rFonts w:eastAsia="Calibri"/>
        </w:rPr>
        <w:t xml:space="preserve">The LCR report for the Bank is prepared in accordance with the public/market disclosure requirements and guidelines in respect of the Liquidity Coverage Ratio Disclosure Standards as published by Central Bank of Kuwait (“CBK”) in December 2014. </w:t>
      </w:r>
    </w:p>
    <w:p w14:paraId="2D53B803" w14:textId="01084540" w:rsidR="001B7F7C" w:rsidRPr="00DE68A1" w:rsidRDefault="001B7F7C" w:rsidP="00FE1634">
      <w:pPr>
        <w:bidi w:val="0"/>
        <w:spacing w:after="200" w:line="276" w:lineRule="auto"/>
        <w:jc w:val="both"/>
        <w:rPr>
          <w:rFonts w:eastAsia="Calibri"/>
        </w:rPr>
      </w:pPr>
      <w:r w:rsidRPr="00DE68A1">
        <w:rPr>
          <w:rFonts w:eastAsia="Calibri"/>
        </w:rPr>
        <w:t xml:space="preserve">The Net stable funding ratio (NSFR) is designed to promote medium- and long-term stable funding of the assets and off-balance-sheet activities over a one-year time horizon. Effective </w:t>
      </w:r>
      <w:r w:rsidR="006E57A9" w:rsidRPr="00DE68A1">
        <w:rPr>
          <w:rFonts w:eastAsia="Calibri"/>
        </w:rPr>
        <w:t>January</w:t>
      </w:r>
      <w:r w:rsidR="00EA466C" w:rsidRPr="00DE68A1">
        <w:rPr>
          <w:rFonts w:eastAsia="Calibri"/>
        </w:rPr>
        <w:t xml:space="preserve"> </w:t>
      </w:r>
      <w:r w:rsidR="00E01875" w:rsidRPr="00DE68A1">
        <w:rPr>
          <w:rFonts w:eastAsia="Calibri"/>
        </w:rPr>
        <w:t>2024</w:t>
      </w:r>
      <w:r w:rsidRPr="00DE68A1">
        <w:rPr>
          <w:rFonts w:eastAsia="Calibri"/>
        </w:rPr>
        <w:t xml:space="preserve">, Central Bank of Kuwait (“CBK”) </w:t>
      </w:r>
      <w:r w:rsidR="00FE1634">
        <w:rPr>
          <w:rFonts w:eastAsia="Calibri"/>
        </w:rPr>
        <w:t>kept the minimum required LCR and NSFR ratios at 100%</w:t>
      </w:r>
      <w:r w:rsidRPr="00DE68A1">
        <w:rPr>
          <w:rFonts w:eastAsia="Calibri"/>
        </w:rPr>
        <w:t xml:space="preserve"> </w:t>
      </w:r>
    </w:p>
    <w:p w14:paraId="14316389" w14:textId="35E8EDB2" w:rsidR="001B7F7C" w:rsidRPr="00DE68A1" w:rsidRDefault="001B7F7C" w:rsidP="001B7F7C">
      <w:pPr>
        <w:bidi w:val="0"/>
        <w:spacing w:after="200" w:line="276" w:lineRule="auto"/>
        <w:jc w:val="both"/>
        <w:rPr>
          <w:rFonts w:eastAsia="Calibri"/>
        </w:rPr>
      </w:pPr>
      <w:r w:rsidRPr="00DE68A1">
        <w:rPr>
          <w:rFonts w:eastAsia="Calibri"/>
        </w:rPr>
        <w:t xml:space="preserve"> As at 31 December </w:t>
      </w:r>
      <w:r w:rsidR="00C340F5" w:rsidRPr="00DE68A1">
        <w:rPr>
          <w:rFonts w:eastAsia="Calibri"/>
        </w:rPr>
        <w:t>2025</w:t>
      </w:r>
      <w:r w:rsidRPr="00DE68A1">
        <w:rPr>
          <w:rFonts w:eastAsia="Calibri"/>
        </w:rPr>
        <w:t xml:space="preserve">, the Industrial Bank of Kuwait’s </w:t>
      </w:r>
      <w:r w:rsidR="008D15BF" w:rsidRPr="00DE68A1">
        <w:rPr>
          <w:rFonts w:eastAsia="Calibri"/>
        </w:rPr>
        <w:t>short-term</w:t>
      </w:r>
      <w:r w:rsidRPr="00DE68A1">
        <w:rPr>
          <w:rFonts w:eastAsia="Calibri"/>
        </w:rPr>
        <w:t xml:space="preserve"> Liquidity Coverage Ratio (LCR) and the </w:t>
      </w:r>
      <w:r w:rsidR="008D15BF" w:rsidRPr="00DE68A1">
        <w:rPr>
          <w:rFonts w:eastAsia="Calibri"/>
        </w:rPr>
        <w:t>longer-term</w:t>
      </w:r>
      <w:r w:rsidRPr="00DE68A1">
        <w:rPr>
          <w:rFonts w:eastAsia="Calibri"/>
        </w:rPr>
        <w:t xml:space="preserve"> Net Stable Funding Ratio (NSFR) stood at well above </w:t>
      </w:r>
      <w:r w:rsidR="00BD25BA" w:rsidRPr="00DE68A1">
        <w:rPr>
          <w:rFonts w:eastAsia="Calibri"/>
        </w:rPr>
        <w:t>100</w:t>
      </w:r>
      <w:r w:rsidRPr="00DE68A1">
        <w:rPr>
          <w:rFonts w:eastAsia="Calibri"/>
        </w:rPr>
        <w:t xml:space="preserve">%, at </w:t>
      </w:r>
      <w:r w:rsidR="00C340F5" w:rsidRPr="00DE68A1">
        <w:rPr>
          <w:rFonts w:eastAsia="Calibri"/>
        </w:rPr>
        <w:lastRenderedPageBreak/>
        <w:t>749.73</w:t>
      </w:r>
      <w:r w:rsidR="00C867CE" w:rsidRPr="00DE68A1">
        <w:rPr>
          <w:rFonts w:eastAsia="Calibri"/>
        </w:rPr>
        <w:t xml:space="preserve">% and </w:t>
      </w:r>
      <w:r w:rsidR="00C340F5" w:rsidRPr="00DE68A1">
        <w:rPr>
          <w:rFonts w:eastAsia="Calibri"/>
        </w:rPr>
        <w:t>147.43</w:t>
      </w:r>
      <w:r w:rsidR="00C867CE" w:rsidRPr="00DE68A1">
        <w:rPr>
          <w:rFonts w:eastAsia="Calibri"/>
        </w:rPr>
        <w:t xml:space="preserve">% </w:t>
      </w:r>
      <w:r w:rsidRPr="00DE68A1">
        <w:rPr>
          <w:rFonts w:eastAsia="Calibri"/>
        </w:rPr>
        <w:t xml:space="preserve">respectively. Thus, the Bank is in a good position to manage any short-term funding stress should they arise. </w:t>
      </w:r>
    </w:p>
    <w:p w14:paraId="4E2F954D" w14:textId="44B5C01E" w:rsidR="00885D5D" w:rsidRPr="00DE68A1" w:rsidRDefault="00885D5D" w:rsidP="001B7F7C">
      <w:pPr>
        <w:bidi w:val="0"/>
        <w:spacing w:after="200" w:line="276" w:lineRule="auto"/>
        <w:jc w:val="both"/>
        <w:rPr>
          <w:rFonts w:eastAsia="Calibri"/>
        </w:rPr>
      </w:pPr>
      <w:r w:rsidRPr="00DE68A1">
        <w:rPr>
          <w:rFonts w:eastAsia="Calibri"/>
          <w:b/>
          <w:bCs/>
        </w:rPr>
        <w:t>Accounting policies:</w:t>
      </w:r>
      <w:r w:rsidRPr="00DE68A1">
        <w:rPr>
          <w:rFonts w:eastAsia="Calibri"/>
        </w:rPr>
        <w:t xml:space="preserve"> Financial assets which are intended to be held for an indefinite period of </w:t>
      </w:r>
      <w:r w:rsidR="00B44CA8" w:rsidRPr="00DE68A1">
        <w:rPr>
          <w:rFonts w:eastAsia="Calibri"/>
        </w:rPr>
        <w:t>time,</w:t>
      </w:r>
      <w:r w:rsidRPr="00DE68A1">
        <w:rPr>
          <w:rFonts w:eastAsia="Calibri"/>
        </w:rPr>
        <w:t xml:space="preserve"> and which are not classified </w:t>
      </w:r>
      <w:r w:rsidR="00B44CA8" w:rsidRPr="00DE68A1">
        <w:rPr>
          <w:rFonts w:eastAsia="Calibri"/>
        </w:rPr>
        <w:t>as</w:t>
      </w:r>
      <w:r w:rsidRPr="00DE68A1">
        <w:rPr>
          <w:rFonts w:eastAsia="Calibri"/>
        </w:rPr>
        <w:t xml:space="preserve"> fair value through statement of income, loans and receivables and Held to Maturity assets are classified as Available for Sale investments.  Such investments are reported at fair value, determined on a quarterly basis and marked to market where market valuations are available. Unlisted equity </w:t>
      </w:r>
      <w:r w:rsidR="00B44CA8" w:rsidRPr="00DE68A1">
        <w:rPr>
          <w:rFonts w:eastAsia="Calibri"/>
        </w:rPr>
        <w:t>participation</w:t>
      </w:r>
      <w:r w:rsidRPr="00DE68A1">
        <w:rPr>
          <w:rFonts w:eastAsia="Calibri"/>
        </w:rPr>
        <w:t xml:space="preserve"> or private investments in Funds whose fair value cannot be reliably determined are carried at cost less impairment. Other Available-for-Sale investments are initially recognized at cost and subsequently re-measured at fair value with unrealized gains or losses recognized directly in Other Comprehensive Income. The fair value investments listed on the stock exchange are based on their quoted market price (bid price) at the balance sheet date without any deduction for transaction cost.</w:t>
      </w:r>
      <w:r w:rsidR="00D703C1" w:rsidRPr="00DE68A1">
        <w:rPr>
          <w:rFonts w:eastAsia="Calibri"/>
        </w:rPr>
        <w:t xml:space="preserve"> </w:t>
      </w:r>
      <w:r w:rsidRPr="00DE68A1">
        <w:rPr>
          <w:rFonts w:eastAsia="Calibri"/>
        </w:rPr>
        <w:t>All classifications of investments are based on International Financial Reporting Standards.</w:t>
      </w:r>
    </w:p>
    <w:p w14:paraId="428400CF" w14:textId="521C0D97" w:rsidR="00672588" w:rsidRPr="00DE68A1" w:rsidRDefault="007F45CF" w:rsidP="001B65BC">
      <w:pPr>
        <w:bidi w:val="0"/>
        <w:spacing w:after="200" w:line="276" w:lineRule="auto"/>
        <w:jc w:val="both"/>
        <w:rPr>
          <w:rFonts w:eastAsia="Calibri"/>
        </w:rPr>
      </w:pPr>
      <w:r w:rsidRPr="00DE68A1">
        <w:rPr>
          <w:rFonts w:eastAsia="Calibri"/>
          <w:b/>
        </w:rPr>
        <w:t>Disclosure on L</w:t>
      </w:r>
      <w:r w:rsidR="009F1B26" w:rsidRPr="00DE68A1">
        <w:rPr>
          <w:rFonts w:eastAsia="Calibri"/>
          <w:b/>
        </w:rPr>
        <w:t xml:space="preserve">iquidity </w:t>
      </w:r>
      <w:r w:rsidRPr="00DE68A1">
        <w:rPr>
          <w:rFonts w:eastAsia="Calibri"/>
          <w:b/>
        </w:rPr>
        <w:t>C</w:t>
      </w:r>
      <w:r w:rsidR="009F1B26" w:rsidRPr="00DE68A1">
        <w:rPr>
          <w:rFonts w:eastAsia="Calibri"/>
          <w:b/>
        </w:rPr>
        <w:t xml:space="preserve">overage </w:t>
      </w:r>
      <w:r w:rsidRPr="00DE68A1">
        <w:rPr>
          <w:rFonts w:eastAsia="Calibri"/>
          <w:b/>
        </w:rPr>
        <w:t>R</w:t>
      </w:r>
      <w:r w:rsidR="009F1B26" w:rsidRPr="00DE68A1">
        <w:rPr>
          <w:rFonts w:eastAsia="Calibri"/>
          <w:b/>
        </w:rPr>
        <w:t>atio (LCR)</w:t>
      </w:r>
      <w:r w:rsidR="0037748B" w:rsidRPr="00DE68A1">
        <w:rPr>
          <w:rFonts w:eastAsia="Calibri"/>
          <w:b/>
        </w:rPr>
        <w:t xml:space="preserve">: </w:t>
      </w:r>
      <w:r w:rsidR="0037748B" w:rsidRPr="00DE68A1">
        <w:rPr>
          <w:rFonts w:eastAsia="Calibri"/>
        </w:rPr>
        <w:t>Based on the CBK guidelines on Liquidity Coverage Ratio, the LCR disclosure for the period ended 31.12.</w:t>
      </w:r>
      <w:r w:rsidR="00E01875" w:rsidRPr="00DE68A1">
        <w:rPr>
          <w:rFonts w:eastAsia="Calibri"/>
        </w:rPr>
        <w:t>202</w:t>
      </w:r>
      <w:r w:rsidR="009B3450" w:rsidRPr="00DE68A1">
        <w:rPr>
          <w:rFonts w:eastAsia="Calibri"/>
        </w:rPr>
        <w:t>5</w:t>
      </w:r>
      <w:r w:rsidR="0037748B" w:rsidRPr="00DE68A1">
        <w:rPr>
          <w:rFonts w:eastAsia="Calibri"/>
        </w:rPr>
        <w:t xml:space="preserve"> is as under:</w:t>
      </w:r>
    </w:p>
    <w:tbl>
      <w:tblPr>
        <w:tblW w:w="8872" w:type="dxa"/>
        <w:tblInd w:w="-5" w:type="dxa"/>
        <w:tblLook w:val="04A0" w:firstRow="1" w:lastRow="0" w:firstColumn="1" w:lastColumn="0" w:noHBand="0" w:noVBand="1"/>
      </w:tblPr>
      <w:tblGrid>
        <w:gridCol w:w="1512"/>
        <w:gridCol w:w="756"/>
        <w:gridCol w:w="2817"/>
        <w:gridCol w:w="1830"/>
        <w:gridCol w:w="1957"/>
      </w:tblGrid>
      <w:tr w:rsidR="006C2ED8" w:rsidRPr="00DE68A1" w14:paraId="4FCDEF6A" w14:textId="77777777" w:rsidTr="00FC0E27">
        <w:trPr>
          <w:trHeight w:val="292"/>
        </w:trPr>
        <w:tc>
          <w:tcPr>
            <w:tcW w:w="1512" w:type="dxa"/>
            <w:tcBorders>
              <w:top w:val="single" w:sz="4" w:space="0" w:color="000000"/>
              <w:left w:val="single" w:sz="4" w:space="0" w:color="000000"/>
              <w:bottom w:val="single" w:sz="4" w:space="0" w:color="A5A5B1"/>
              <w:right w:val="single" w:sz="4" w:space="0" w:color="3877A6"/>
            </w:tcBorders>
            <w:shd w:val="clear" w:color="FFFFFF" w:fill="0B64A0"/>
            <w:noWrap/>
            <w:vAlign w:val="center"/>
            <w:hideMark/>
          </w:tcPr>
          <w:p w14:paraId="18D8F025" w14:textId="77777777" w:rsidR="00B51A7E" w:rsidRPr="00DE68A1" w:rsidRDefault="00B51A7E" w:rsidP="00B51A7E">
            <w:pPr>
              <w:bidi w:val="0"/>
              <w:jc w:val="center"/>
              <w:rPr>
                <w:rFonts w:asciiTheme="minorHAnsi" w:hAnsiTheme="minorHAnsi" w:cstheme="minorHAnsi"/>
                <w:b/>
                <w:bCs/>
                <w:sz w:val="18"/>
                <w:szCs w:val="18"/>
              </w:rPr>
            </w:pPr>
            <w:r w:rsidRPr="00DE68A1">
              <w:rPr>
                <w:rFonts w:asciiTheme="minorHAnsi" w:hAnsiTheme="minorHAnsi" w:cstheme="minorHAnsi"/>
                <w:b/>
                <w:bCs/>
                <w:sz w:val="18"/>
                <w:szCs w:val="18"/>
              </w:rPr>
              <w:t>Group</w:t>
            </w:r>
          </w:p>
        </w:tc>
        <w:tc>
          <w:tcPr>
            <w:tcW w:w="756" w:type="dxa"/>
            <w:tcBorders>
              <w:top w:val="single" w:sz="4" w:space="0" w:color="000000"/>
              <w:left w:val="nil"/>
              <w:bottom w:val="single" w:sz="4" w:space="0" w:color="A5A5B1"/>
              <w:right w:val="single" w:sz="4" w:space="0" w:color="3877A6"/>
            </w:tcBorders>
            <w:shd w:val="clear" w:color="FFFFFF" w:fill="0B64A0"/>
            <w:noWrap/>
            <w:vAlign w:val="center"/>
            <w:hideMark/>
          </w:tcPr>
          <w:p w14:paraId="55816A6C" w14:textId="77777777" w:rsidR="00B51A7E" w:rsidRPr="00DE68A1" w:rsidRDefault="00B51A7E" w:rsidP="00B51A7E">
            <w:pPr>
              <w:bidi w:val="0"/>
              <w:jc w:val="center"/>
              <w:rPr>
                <w:rFonts w:asciiTheme="minorHAnsi" w:hAnsiTheme="minorHAnsi" w:cstheme="minorHAnsi"/>
                <w:b/>
                <w:bCs/>
                <w:sz w:val="18"/>
                <w:szCs w:val="18"/>
              </w:rPr>
            </w:pPr>
            <w:r w:rsidRPr="00DE68A1">
              <w:rPr>
                <w:rFonts w:asciiTheme="minorHAnsi" w:hAnsiTheme="minorHAnsi" w:cstheme="minorHAnsi"/>
                <w:b/>
                <w:bCs/>
                <w:sz w:val="18"/>
                <w:szCs w:val="18"/>
              </w:rPr>
              <w:t>ID</w:t>
            </w:r>
          </w:p>
        </w:tc>
        <w:tc>
          <w:tcPr>
            <w:tcW w:w="2817" w:type="dxa"/>
            <w:tcBorders>
              <w:top w:val="single" w:sz="4" w:space="0" w:color="000000"/>
              <w:left w:val="nil"/>
              <w:bottom w:val="single" w:sz="4" w:space="0" w:color="A5A5B1"/>
              <w:right w:val="single" w:sz="4" w:space="0" w:color="3877A6"/>
            </w:tcBorders>
            <w:shd w:val="clear" w:color="FFFFFF" w:fill="0B64A0"/>
            <w:noWrap/>
            <w:vAlign w:val="center"/>
            <w:hideMark/>
          </w:tcPr>
          <w:p w14:paraId="60DC86CD" w14:textId="77777777" w:rsidR="00B51A7E" w:rsidRPr="00DE68A1" w:rsidRDefault="00B51A7E" w:rsidP="00B51A7E">
            <w:pPr>
              <w:bidi w:val="0"/>
              <w:jc w:val="center"/>
              <w:rPr>
                <w:rFonts w:asciiTheme="minorHAnsi" w:hAnsiTheme="minorHAnsi" w:cstheme="minorHAnsi"/>
                <w:b/>
                <w:bCs/>
                <w:sz w:val="18"/>
                <w:szCs w:val="18"/>
              </w:rPr>
            </w:pPr>
            <w:r w:rsidRPr="00DE68A1">
              <w:rPr>
                <w:rFonts w:asciiTheme="minorHAnsi" w:hAnsiTheme="minorHAnsi" w:cstheme="minorHAnsi"/>
                <w:b/>
                <w:bCs/>
                <w:sz w:val="18"/>
                <w:szCs w:val="18"/>
              </w:rPr>
              <w:t>Description</w:t>
            </w:r>
          </w:p>
        </w:tc>
        <w:tc>
          <w:tcPr>
            <w:tcW w:w="1830" w:type="dxa"/>
            <w:tcBorders>
              <w:top w:val="single" w:sz="4" w:space="0" w:color="000000"/>
              <w:left w:val="nil"/>
              <w:bottom w:val="single" w:sz="4" w:space="0" w:color="A5A5B1"/>
              <w:right w:val="single" w:sz="4" w:space="0" w:color="3877A6"/>
            </w:tcBorders>
            <w:shd w:val="clear" w:color="FFFFFF" w:fill="0B64A0"/>
            <w:noWrap/>
            <w:vAlign w:val="center"/>
            <w:hideMark/>
          </w:tcPr>
          <w:p w14:paraId="36CF1411" w14:textId="77777777" w:rsidR="00B51A7E" w:rsidRPr="00DE68A1" w:rsidRDefault="00B51A7E" w:rsidP="00B51A7E">
            <w:pPr>
              <w:bidi w:val="0"/>
              <w:jc w:val="center"/>
              <w:rPr>
                <w:rFonts w:asciiTheme="minorHAnsi" w:hAnsiTheme="minorHAnsi" w:cstheme="minorHAnsi"/>
                <w:b/>
                <w:bCs/>
                <w:sz w:val="18"/>
                <w:szCs w:val="18"/>
              </w:rPr>
            </w:pPr>
            <w:r w:rsidRPr="00DE68A1">
              <w:rPr>
                <w:rFonts w:asciiTheme="minorHAnsi" w:hAnsiTheme="minorHAnsi" w:cstheme="minorHAnsi"/>
                <w:b/>
                <w:bCs/>
                <w:sz w:val="18"/>
                <w:szCs w:val="18"/>
              </w:rPr>
              <w:t>Values</w:t>
            </w:r>
          </w:p>
          <w:p w14:paraId="072C50F3" w14:textId="48295C59" w:rsidR="00617B1F" w:rsidRPr="00DE68A1" w:rsidRDefault="00617B1F" w:rsidP="00617B1F">
            <w:pPr>
              <w:bidi w:val="0"/>
              <w:jc w:val="center"/>
              <w:rPr>
                <w:rFonts w:asciiTheme="minorHAnsi" w:hAnsiTheme="minorHAnsi" w:cstheme="minorHAnsi"/>
                <w:b/>
                <w:bCs/>
                <w:sz w:val="18"/>
                <w:szCs w:val="18"/>
              </w:rPr>
            </w:pPr>
            <w:r w:rsidRPr="00DE68A1">
              <w:rPr>
                <w:rFonts w:asciiTheme="minorHAnsi" w:hAnsiTheme="minorHAnsi" w:cstheme="minorHAnsi"/>
                <w:b/>
                <w:bCs/>
                <w:sz w:val="18"/>
                <w:szCs w:val="18"/>
              </w:rPr>
              <w:t>(KD’000)</w:t>
            </w:r>
          </w:p>
        </w:tc>
        <w:tc>
          <w:tcPr>
            <w:tcW w:w="1957" w:type="dxa"/>
            <w:tcBorders>
              <w:top w:val="single" w:sz="4" w:space="0" w:color="000000"/>
              <w:left w:val="nil"/>
              <w:bottom w:val="single" w:sz="4" w:space="0" w:color="3877A6"/>
              <w:right w:val="single" w:sz="4" w:space="0" w:color="000000"/>
            </w:tcBorders>
            <w:shd w:val="clear" w:color="FFFFFF" w:fill="0B64A0"/>
            <w:noWrap/>
            <w:vAlign w:val="center"/>
            <w:hideMark/>
          </w:tcPr>
          <w:p w14:paraId="22907573" w14:textId="77777777" w:rsidR="00B51A7E" w:rsidRPr="00DE68A1" w:rsidRDefault="00B51A7E" w:rsidP="00B51A7E">
            <w:pPr>
              <w:bidi w:val="0"/>
              <w:jc w:val="center"/>
              <w:rPr>
                <w:rFonts w:asciiTheme="minorHAnsi" w:hAnsiTheme="minorHAnsi" w:cstheme="minorHAnsi"/>
                <w:b/>
                <w:bCs/>
                <w:sz w:val="18"/>
                <w:szCs w:val="18"/>
              </w:rPr>
            </w:pPr>
            <w:r w:rsidRPr="00DE68A1">
              <w:rPr>
                <w:rFonts w:asciiTheme="minorHAnsi" w:hAnsiTheme="minorHAnsi" w:cstheme="minorHAnsi"/>
                <w:b/>
                <w:bCs/>
                <w:sz w:val="18"/>
                <w:szCs w:val="18"/>
              </w:rPr>
              <w:t>Values After Flow Rates</w:t>
            </w:r>
          </w:p>
          <w:p w14:paraId="4A2A3206" w14:textId="00FE2570" w:rsidR="00617B1F" w:rsidRPr="00DE68A1" w:rsidRDefault="00617B1F" w:rsidP="00617B1F">
            <w:pPr>
              <w:bidi w:val="0"/>
              <w:jc w:val="center"/>
              <w:rPr>
                <w:rFonts w:asciiTheme="minorHAnsi" w:hAnsiTheme="minorHAnsi" w:cstheme="minorHAnsi"/>
                <w:b/>
                <w:bCs/>
                <w:sz w:val="18"/>
                <w:szCs w:val="18"/>
              </w:rPr>
            </w:pPr>
            <w:r w:rsidRPr="00DE68A1">
              <w:rPr>
                <w:rFonts w:asciiTheme="minorHAnsi" w:hAnsiTheme="minorHAnsi" w:cstheme="minorHAnsi"/>
                <w:b/>
                <w:bCs/>
                <w:sz w:val="18"/>
                <w:szCs w:val="18"/>
              </w:rPr>
              <w:t>(KD’000)</w:t>
            </w:r>
          </w:p>
        </w:tc>
      </w:tr>
      <w:tr w:rsidR="006D4CF0" w:rsidRPr="00DE68A1" w14:paraId="7381FDDA" w14:textId="77777777" w:rsidTr="000C403F">
        <w:trPr>
          <w:trHeight w:val="292"/>
        </w:trPr>
        <w:tc>
          <w:tcPr>
            <w:tcW w:w="1512" w:type="dxa"/>
            <w:tcBorders>
              <w:top w:val="single" w:sz="4" w:space="0" w:color="000000"/>
              <w:left w:val="single" w:sz="4" w:space="0" w:color="000000"/>
              <w:bottom w:val="single" w:sz="4" w:space="0" w:color="000000"/>
              <w:right w:val="single" w:sz="4" w:space="0" w:color="000000"/>
            </w:tcBorders>
            <w:shd w:val="clear" w:color="FFFFFF" w:fill="F8FBFC"/>
            <w:noWrap/>
            <w:vAlign w:val="center"/>
            <w:hideMark/>
          </w:tcPr>
          <w:p w14:paraId="2A668A2E" w14:textId="77777777" w:rsidR="006D4CF0" w:rsidRPr="00DE68A1" w:rsidRDefault="006D4CF0" w:rsidP="006D4CF0">
            <w:pPr>
              <w:bidi w:val="0"/>
              <w:rPr>
                <w:rFonts w:asciiTheme="minorHAnsi" w:hAnsiTheme="minorHAnsi" w:cstheme="minorHAnsi"/>
                <w:b/>
                <w:bCs/>
                <w:color w:val="333333"/>
                <w:sz w:val="16"/>
                <w:szCs w:val="16"/>
              </w:rPr>
            </w:pPr>
            <w:r w:rsidRPr="00DE68A1">
              <w:rPr>
                <w:rFonts w:asciiTheme="minorHAnsi" w:hAnsiTheme="minorHAnsi" w:cstheme="minorHAnsi"/>
                <w:b/>
                <w:bCs/>
                <w:color w:val="333333"/>
                <w:sz w:val="16"/>
                <w:szCs w:val="16"/>
              </w:rPr>
              <w:t>HIGH QUALITY LIQUID ASSETS</w:t>
            </w:r>
          </w:p>
        </w:tc>
        <w:tc>
          <w:tcPr>
            <w:tcW w:w="756" w:type="dxa"/>
            <w:tcBorders>
              <w:top w:val="single" w:sz="4" w:space="0" w:color="000000"/>
              <w:left w:val="nil"/>
              <w:bottom w:val="single" w:sz="4" w:space="0" w:color="000000"/>
              <w:right w:val="single" w:sz="4" w:space="0" w:color="000000"/>
            </w:tcBorders>
            <w:shd w:val="clear" w:color="FFFFFF" w:fill="F8FBFC"/>
            <w:noWrap/>
            <w:vAlign w:val="bottom"/>
            <w:hideMark/>
          </w:tcPr>
          <w:p w14:paraId="3ACFC3EE"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1</w:t>
            </w:r>
          </w:p>
        </w:tc>
        <w:tc>
          <w:tcPr>
            <w:tcW w:w="2817" w:type="dxa"/>
            <w:tcBorders>
              <w:top w:val="single" w:sz="4" w:space="0" w:color="000000"/>
              <w:left w:val="nil"/>
              <w:bottom w:val="single" w:sz="4" w:space="0" w:color="000000"/>
              <w:right w:val="single" w:sz="4" w:space="0" w:color="000000"/>
            </w:tcBorders>
            <w:shd w:val="clear" w:color="FFFFFF" w:fill="F8FBFC"/>
            <w:noWrap/>
            <w:vAlign w:val="bottom"/>
            <w:hideMark/>
          </w:tcPr>
          <w:p w14:paraId="4F9C444C" w14:textId="4E7E1DC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TOTAL HIGH-QUALITY LIQUID ASSETS (BEFORE REVISIONS)</w:t>
            </w:r>
          </w:p>
        </w:tc>
        <w:tc>
          <w:tcPr>
            <w:tcW w:w="1830" w:type="dxa"/>
            <w:tcBorders>
              <w:top w:val="single" w:sz="4" w:space="0" w:color="000000"/>
              <w:left w:val="nil"/>
              <w:bottom w:val="single" w:sz="4" w:space="0" w:color="000000"/>
              <w:right w:val="single" w:sz="4" w:space="0" w:color="000000"/>
            </w:tcBorders>
            <w:shd w:val="clear" w:color="FFFFFF" w:fill="000000"/>
            <w:noWrap/>
            <w:vAlign w:val="center"/>
            <w:hideMark/>
          </w:tcPr>
          <w:p w14:paraId="38F4F259" w14:textId="77777777" w:rsidR="006D4CF0" w:rsidRPr="00DE68A1" w:rsidRDefault="006D4CF0" w:rsidP="000C403F">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155,998</w:t>
            </w:r>
          </w:p>
        </w:tc>
        <w:tc>
          <w:tcPr>
            <w:tcW w:w="1957" w:type="dxa"/>
            <w:tcBorders>
              <w:top w:val="single" w:sz="4" w:space="0" w:color="000000"/>
              <w:left w:val="nil"/>
              <w:bottom w:val="single" w:sz="4" w:space="0" w:color="000000"/>
              <w:right w:val="single" w:sz="4" w:space="0" w:color="000000"/>
            </w:tcBorders>
            <w:shd w:val="clear" w:color="FFFFFF" w:fill="F8FBFC"/>
            <w:noWrap/>
            <w:vAlign w:val="center"/>
          </w:tcPr>
          <w:p w14:paraId="280218E6" w14:textId="43F386A1"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205,509</w:t>
            </w:r>
          </w:p>
        </w:tc>
      </w:tr>
      <w:tr w:rsidR="006D4CF0" w:rsidRPr="00DE68A1" w14:paraId="6E256B52" w14:textId="77777777" w:rsidTr="000C403F">
        <w:trPr>
          <w:trHeight w:val="292"/>
        </w:trPr>
        <w:tc>
          <w:tcPr>
            <w:tcW w:w="1512"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14:paraId="5CF48D47" w14:textId="77777777" w:rsidR="006D4CF0" w:rsidRPr="00DE68A1" w:rsidRDefault="006D4CF0" w:rsidP="006D4CF0">
            <w:pPr>
              <w:bidi w:val="0"/>
              <w:rPr>
                <w:rFonts w:asciiTheme="minorHAnsi" w:hAnsiTheme="minorHAnsi" w:cstheme="minorHAnsi"/>
                <w:b/>
                <w:bCs/>
                <w:color w:val="333333"/>
                <w:sz w:val="16"/>
                <w:szCs w:val="16"/>
              </w:rPr>
            </w:pPr>
            <w:r w:rsidRPr="00DE68A1">
              <w:rPr>
                <w:rFonts w:asciiTheme="minorHAnsi" w:hAnsiTheme="minorHAnsi" w:cstheme="minorHAnsi"/>
                <w:b/>
                <w:bCs/>
                <w:color w:val="333333"/>
                <w:sz w:val="16"/>
                <w:szCs w:val="16"/>
              </w:rPr>
              <w:t>CASH OUTFLOWS</w:t>
            </w:r>
          </w:p>
        </w:tc>
        <w:tc>
          <w:tcPr>
            <w:tcW w:w="756" w:type="dxa"/>
            <w:tcBorders>
              <w:top w:val="nil"/>
              <w:left w:val="nil"/>
              <w:bottom w:val="single" w:sz="4" w:space="0" w:color="000000"/>
              <w:right w:val="single" w:sz="4" w:space="0" w:color="000000"/>
            </w:tcBorders>
            <w:shd w:val="clear" w:color="FFFFFF" w:fill="FFFFFF"/>
            <w:noWrap/>
            <w:vAlign w:val="bottom"/>
            <w:hideMark/>
          </w:tcPr>
          <w:p w14:paraId="2CDCCB04"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2</w:t>
            </w:r>
          </w:p>
        </w:tc>
        <w:tc>
          <w:tcPr>
            <w:tcW w:w="2817" w:type="dxa"/>
            <w:tcBorders>
              <w:top w:val="nil"/>
              <w:left w:val="nil"/>
              <w:bottom w:val="single" w:sz="4" w:space="0" w:color="000000"/>
              <w:right w:val="single" w:sz="4" w:space="0" w:color="000000"/>
            </w:tcBorders>
            <w:shd w:val="clear" w:color="FFFFFF" w:fill="FFFFFF"/>
            <w:noWrap/>
            <w:vAlign w:val="bottom"/>
            <w:hideMark/>
          </w:tcPr>
          <w:p w14:paraId="2D651359"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RETAIL DEPOSITS AND SMES:</w:t>
            </w:r>
          </w:p>
        </w:tc>
        <w:tc>
          <w:tcPr>
            <w:tcW w:w="1830" w:type="dxa"/>
            <w:tcBorders>
              <w:top w:val="nil"/>
              <w:left w:val="nil"/>
              <w:bottom w:val="single" w:sz="4" w:space="0" w:color="000000"/>
              <w:right w:val="single" w:sz="4" w:space="0" w:color="000000"/>
            </w:tcBorders>
            <w:shd w:val="clear" w:color="FFFFFF" w:fill="FFFFFF"/>
            <w:noWrap/>
            <w:vAlign w:val="center"/>
          </w:tcPr>
          <w:p w14:paraId="19A40E55" w14:textId="70809478"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16,105</w:t>
            </w:r>
          </w:p>
        </w:tc>
        <w:tc>
          <w:tcPr>
            <w:tcW w:w="1957" w:type="dxa"/>
            <w:tcBorders>
              <w:top w:val="nil"/>
              <w:left w:val="nil"/>
              <w:bottom w:val="single" w:sz="4" w:space="0" w:color="000000"/>
              <w:right w:val="single" w:sz="4" w:space="0" w:color="000000"/>
            </w:tcBorders>
            <w:shd w:val="clear" w:color="FFFFFF" w:fill="FFFFFF"/>
            <w:noWrap/>
            <w:vAlign w:val="center"/>
          </w:tcPr>
          <w:p w14:paraId="45C693EB" w14:textId="0FCCB276"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3,515</w:t>
            </w:r>
          </w:p>
        </w:tc>
      </w:tr>
      <w:tr w:rsidR="006D4CF0" w:rsidRPr="00DE68A1" w14:paraId="368639B1"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2C931789"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8FBFC"/>
            <w:noWrap/>
            <w:vAlign w:val="bottom"/>
            <w:hideMark/>
          </w:tcPr>
          <w:p w14:paraId="21FAA83B"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3</w:t>
            </w:r>
          </w:p>
        </w:tc>
        <w:tc>
          <w:tcPr>
            <w:tcW w:w="2817" w:type="dxa"/>
            <w:tcBorders>
              <w:top w:val="nil"/>
              <w:left w:val="nil"/>
              <w:bottom w:val="single" w:sz="4" w:space="0" w:color="000000"/>
              <w:right w:val="single" w:sz="4" w:space="0" w:color="000000"/>
            </w:tcBorders>
            <w:shd w:val="clear" w:color="FFFFFF" w:fill="F8FBFC"/>
            <w:noWrap/>
            <w:vAlign w:val="bottom"/>
            <w:hideMark/>
          </w:tcPr>
          <w:p w14:paraId="2814A186"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 xml:space="preserve">   &gt;   STABLE DEPOSITS</w:t>
            </w:r>
          </w:p>
        </w:tc>
        <w:tc>
          <w:tcPr>
            <w:tcW w:w="1830" w:type="dxa"/>
            <w:tcBorders>
              <w:top w:val="nil"/>
              <w:left w:val="nil"/>
              <w:bottom w:val="single" w:sz="4" w:space="0" w:color="000000"/>
              <w:right w:val="single" w:sz="4" w:space="0" w:color="000000"/>
            </w:tcBorders>
            <w:shd w:val="clear" w:color="FFFFFF" w:fill="F8FBFC"/>
            <w:noWrap/>
            <w:vAlign w:val="center"/>
          </w:tcPr>
          <w:p w14:paraId="3A854D19" w14:textId="72F45EE4" w:rsidR="006D4CF0" w:rsidRPr="00DE68A1" w:rsidRDefault="006D4CF0" w:rsidP="000C403F">
            <w:pPr>
              <w:bidi w:val="0"/>
              <w:jc w:val="center"/>
              <w:rPr>
                <w:rFonts w:asciiTheme="minorHAnsi" w:hAnsiTheme="minorHAnsi" w:cstheme="minorHAnsi"/>
                <w:color w:val="333333"/>
                <w:sz w:val="18"/>
                <w:szCs w:val="18"/>
              </w:rPr>
            </w:pPr>
          </w:p>
        </w:tc>
        <w:tc>
          <w:tcPr>
            <w:tcW w:w="1957" w:type="dxa"/>
            <w:tcBorders>
              <w:top w:val="nil"/>
              <w:left w:val="nil"/>
              <w:bottom w:val="single" w:sz="4" w:space="0" w:color="000000"/>
              <w:right w:val="single" w:sz="4" w:space="0" w:color="000000"/>
            </w:tcBorders>
            <w:shd w:val="clear" w:color="FFFFFF" w:fill="F8FBFC"/>
            <w:noWrap/>
            <w:vAlign w:val="center"/>
          </w:tcPr>
          <w:p w14:paraId="26EB937F" w14:textId="23E93B61" w:rsidR="006D4CF0" w:rsidRPr="00DE68A1" w:rsidRDefault="006D4CF0" w:rsidP="000C403F">
            <w:pPr>
              <w:bidi w:val="0"/>
              <w:jc w:val="center"/>
              <w:rPr>
                <w:rFonts w:asciiTheme="minorHAnsi" w:hAnsiTheme="minorHAnsi" w:cstheme="minorHAnsi"/>
                <w:color w:val="333333"/>
                <w:sz w:val="18"/>
                <w:szCs w:val="18"/>
              </w:rPr>
            </w:pPr>
          </w:p>
        </w:tc>
      </w:tr>
      <w:tr w:rsidR="006D4CF0" w:rsidRPr="00DE68A1" w14:paraId="2794294D"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56600AE0"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FFFFF"/>
            <w:noWrap/>
            <w:vAlign w:val="bottom"/>
            <w:hideMark/>
          </w:tcPr>
          <w:p w14:paraId="3D8E0978"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4</w:t>
            </w:r>
          </w:p>
        </w:tc>
        <w:tc>
          <w:tcPr>
            <w:tcW w:w="2817" w:type="dxa"/>
            <w:tcBorders>
              <w:top w:val="nil"/>
              <w:left w:val="nil"/>
              <w:bottom w:val="single" w:sz="4" w:space="0" w:color="000000"/>
              <w:right w:val="single" w:sz="4" w:space="0" w:color="000000"/>
            </w:tcBorders>
            <w:shd w:val="clear" w:color="FFFFFF" w:fill="FFFFFF"/>
            <w:noWrap/>
            <w:vAlign w:val="bottom"/>
            <w:hideMark/>
          </w:tcPr>
          <w:p w14:paraId="0D0E0F1F"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 xml:space="preserve">   &gt;   LESS STABLE DEPOSITS</w:t>
            </w:r>
          </w:p>
        </w:tc>
        <w:tc>
          <w:tcPr>
            <w:tcW w:w="1830" w:type="dxa"/>
            <w:tcBorders>
              <w:top w:val="nil"/>
              <w:left w:val="nil"/>
              <w:bottom w:val="single" w:sz="4" w:space="0" w:color="000000"/>
              <w:right w:val="single" w:sz="4" w:space="0" w:color="000000"/>
            </w:tcBorders>
            <w:shd w:val="clear" w:color="FFFFFF" w:fill="FFFFFF"/>
            <w:noWrap/>
            <w:vAlign w:val="center"/>
          </w:tcPr>
          <w:p w14:paraId="6F66D986" w14:textId="3AE71DE0"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11,625</w:t>
            </w:r>
          </w:p>
        </w:tc>
        <w:tc>
          <w:tcPr>
            <w:tcW w:w="1957" w:type="dxa"/>
            <w:tcBorders>
              <w:top w:val="nil"/>
              <w:left w:val="nil"/>
              <w:bottom w:val="single" w:sz="4" w:space="0" w:color="000000"/>
              <w:right w:val="single" w:sz="4" w:space="0" w:color="000000"/>
            </w:tcBorders>
            <w:shd w:val="clear" w:color="FFFFFF" w:fill="FFFFFF"/>
            <w:noWrap/>
            <w:vAlign w:val="center"/>
          </w:tcPr>
          <w:p w14:paraId="57B3CB89" w14:textId="4F71FF61"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2,540</w:t>
            </w:r>
          </w:p>
        </w:tc>
      </w:tr>
      <w:tr w:rsidR="006D4CF0" w:rsidRPr="00DE68A1" w14:paraId="6D885999"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7A014357"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8FBFC"/>
            <w:noWrap/>
            <w:vAlign w:val="bottom"/>
            <w:hideMark/>
          </w:tcPr>
          <w:p w14:paraId="1D814EAD"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5</w:t>
            </w:r>
          </w:p>
        </w:tc>
        <w:tc>
          <w:tcPr>
            <w:tcW w:w="2817" w:type="dxa"/>
            <w:tcBorders>
              <w:top w:val="nil"/>
              <w:left w:val="nil"/>
              <w:bottom w:val="single" w:sz="4" w:space="0" w:color="000000"/>
              <w:right w:val="single" w:sz="4" w:space="0" w:color="000000"/>
            </w:tcBorders>
            <w:shd w:val="clear" w:color="FFFFFF" w:fill="F8FBFC"/>
            <w:noWrap/>
            <w:vAlign w:val="bottom"/>
            <w:hideMark/>
          </w:tcPr>
          <w:p w14:paraId="04B4163F"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OTHER UNSECURED DEPOSITS AND FUNDS FROM WHOLESALE FUNDING EXCLUDING DEPOSITS OF SMES CUSTOMERS:</w:t>
            </w:r>
          </w:p>
        </w:tc>
        <w:tc>
          <w:tcPr>
            <w:tcW w:w="1830" w:type="dxa"/>
            <w:tcBorders>
              <w:top w:val="nil"/>
              <w:left w:val="nil"/>
              <w:bottom w:val="single" w:sz="4" w:space="0" w:color="000000"/>
              <w:right w:val="single" w:sz="4" w:space="0" w:color="000000"/>
            </w:tcBorders>
            <w:shd w:val="clear" w:color="FFFFFF" w:fill="F8FBFC"/>
            <w:noWrap/>
            <w:vAlign w:val="center"/>
          </w:tcPr>
          <w:p w14:paraId="0BC628BC" w14:textId="635F0062"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40,024</w:t>
            </w:r>
          </w:p>
        </w:tc>
        <w:tc>
          <w:tcPr>
            <w:tcW w:w="1957" w:type="dxa"/>
            <w:tcBorders>
              <w:top w:val="nil"/>
              <w:left w:val="nil"/>
              <w:bottom w:val="single" w:sz="4" w:space="0" w:color="000000"/>
              <w:right w:val="single" w:sz="4" w:space="0" w:color="000000"/>
            </w:tcBorders>
            <w:shd w:val="clear" w:color="FFFFFF" w:fill="F8FBFC"/>
            <w:noWrap/>
            <w:vAlign w:val="center"/>
          </w:tcPr>
          <w:p w14:paraId="4C157077" w14:textId="4E9E88C4"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16,274</w:t>
            </w:r>
          </w:p>
        </w:tc>
      </w:tr>
      <w:tr w:rsidR="006D4CF0" w:rsidRPr="00DE68A1" w14:paraId="5572FD19"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22E230A7"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FFFFF"/>
            <w:noWrap/>
            <w:vAlign w:val="bottom"/>
            <w:hideMark/>
          </w:tcPr>
          <w:p w14:paraId="5A714A10"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6</w:t>
            </w:r>
          </w:p>
        </w:tc>
        <w:tc>
          <w:tcPr>
            <w:tcW w:w="2817" w:type="dxa"/>
            <w:tcBorders>
              <w:top w:val="nil"/>
              <w:left w:val="nil"/>
              <w:bottom w:val="single" w:sz="4" w:space="0" w:color="000000"/>
              <w:right w:val="single" w:sz="4" w:space="0" w:color="000000"/>
            </w:tcBorders>
            <w:shd w:val="clear" w:color="FFFFFF" w:fill="FFFFFF"/>
            <w:noWrap/>
            <w:vAlign w:val="bottom"/>
            <w:hideMark/>
          </w:tcPr>
          <w:p w14:paraId="47332805"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 xml:space="preserve">   &gt;   OPERATIONAL DEPOSITS</w:t>
            </w:r>
          </w:p>
        </w:tc>
        <w:tc>
          <w:tcPr>
            <w:tcW w:w="1830" w:type="dxa"/>
            <w:tcBorders>
              <w:top w:val="nil"/>
              <w:left w:val="nil"/>
              <w:bottom w:val="single" w:sz="4" w:space="0" w:color="000000"/>
              <w:right w:val="single" w:sz="4" w:space="0" w:color="000000"/>
            </w:tcBorders>
            <w:shd w:val="clear" w:color="FFFFFF" w:fill="FFFFFF"/>
            <w:noWrap/>
            <w:vAlign w:val="center"/>
          </w:tcPr>
          <w:p w14:paraId="10932A5A" w14:textId="4597B71A" w:rsidR="006D4CF0" w:rsidRPr="00DE68A1" w:rsidRDefault="006D4CF0" w:rsidP="000C403F">
            <w:pPr>
              <w:bidi w:val="0"/>
              <w:jc w:val="center"/>
              <w:rPr>
                <w:rFonts w:asciiTheme="minorHAnsi" w:hAnsiTheme="minorHAnsi" w:cstheme="minorHAnsi"/>
                <w:color w:val="333333"/>
                <w:sz w:val="18"/>
                <w:szCs w:val="18"/>
              </w:rPr>
            </w:pPr>
          </w:p>
        </w:tc>
        <w:tc>
          <w:tcPr>
            <w:tcW w:w="1957" w:type="dxa"/>
            <w:tcBorders>
              <w:top w:val="nil"/>
              <w:left w:val="nil"/>
              <w:bottom w:val="single" w:sz="4" w:space="0" w:color="000000"/>
              <w:right w:val="single" w:sz="4" w:space="0" w:color="000000"/>
            </w:tcBorders>
            <w:shd w:val="clear" w:color="FFFFFF" w:fill="FFFFFF"/>
            <w:noWrap/>
            <w:vAlign w:val="center"/>
          </w:tcPr>
          <w:p w14:paraId="78CC6CB3" w14:textId="6858497E" w:rsidR="006D4CF0" w:rsidRPr="00DE68A1" w:rsidRDefault="006D4CF0" w:rsidP="000C403F">
            <w:pPr>
              <w:bidi w:val="0"/>
              <w:jc w:val="center"/>
              <w:rPr>
                <w:rFonts w:asciiTheme="minorHAnsi" w:hAnsiTheme="minorHAnsi" w:cstheme="minorHAnsi"/>
                <w:color w:val="333333"/>
                <w:sz w:val="18"/>
                <w:szCs w:val="18"/>
              </w:rPr>
            </w:pPr>
          </w:p>
        </w:tc>
      </w:tr>
      <w:tr w:rsidR="006D4CF0" w:rsidRPr="00DE68A1" w14:paraId="5CDF129C"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37647B7A"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8FBFC"/>
            <w:noWrap/>
            <w:vAlign w:val="bottom"/>
            <w:hideMark/>
          </w:tcPr>
          <w:p w14:paraId="24E1D788"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7</w:t>
            </w:r>
          </w:p>
        </w:tc>
        <w:tc>
          <w:tcPr>
            <w:tcW w:w="2817" w:type="dxa"/>
            <w:tcBorders>
              <w:top w:val="nil"/>
              <w:left w:val="nil"/>
              <w:bottom w:val="single" w:sz="4" w:space="0" w:color="000000"/>
              <w:right w:val="single" w:sz="4" w:space="0" w:color="000000"/>
            </w:tcBorders>
            <w:shd w:val="clear" w:color="FFFFFF" w:fill="F8FBFC"/>
            <w:noWrap/>
            <w:vAlign w:val="bottom"/>
            <w:hideMark/>
          </w:tcPr>
          <w:p w14:paraId="07163894"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 xml:space="preserve">   &gt;   NON-OPERATIONAL (OTHER UNSECURED FUNDING)</w:t>
            </w:r>
          </w:p>
        </w:tc>
        <w:tc>
          <w:tcPr>
            <w:tcW w:w="1830" w:type="dxa"/>
            <w:tcBorders>
              <w:top w:val="nil"/>
              <w:left w:val="nil"/>
              <w:bottom w:val="single" w:sz="4" w:space="0" w:color="000000"/>
              <w:right w:val="single" w:sz="4" w:space="0" w:color="000000"/>
            </w:tcBorders>
            <w:shd w:val="clear" w:color="FFFFFF" w:fill="F8FBFC"/>
            <w:noWrap/>
            <w:vAlign w:val="center"/>
          </w:tcPr>
          <w:p w14:paraId="7A8533C5" w14:textId="32F1A6E3"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40,024</w:t>
            </w:r>
          </w:p>
        </w:tc>
        <w:tc>
          <w:tcPr>
            <w:tcW w:w="1957" w:type="dxa"/>
            <w:tcBorders>
              <w:top w:val="nil"/>
              <w:left w:val="nil"/>
              <w:bottom w:val="single" w:sz="4" w:space="0" w:color="000000"/>
              <w:right w:val="single" w:sz="4" w:space="0" w:color="000000"/>
            </w:tcBorders>
            <w:shd w:val="clear" w:color="FFFFFF" w:fill="F8FBFC"/>
            <w:noWrap/>
            <w:vAlign w:val="center"/>
          </w:tcPr>
          <w:p w14:paraId="631FFAA2" w14:textId="7B9C2A94"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16,274</w:t>
            </w:r>
          </w:p>
        </w:tc>
      </w:tr>
      <w:tr w:rsidR="006D4CF0" w:rsidRPr="00DE68A1" w14:paraId="58919D9B"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74D9CAE0"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FFFFF"/>
            <w:noWrap/>
            <w:vAlign w:val="bottom"/>
            <w:hideMark/>
          </w:tcPr>
          <w:p w14:paraId="6248FC44"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8</w:t>
            </w:r>
          </w:p>
        </w:tc>
        <w:tc>
          <w:tcPr>
            <w:tcW w:w="2817" w:type="dxa"/>
            <w:tcBorders>
              <w:top w:val="nil"/>
              <w:left w:val="nil"/>
              <w:bottom w:val="single" w:sz="4" w:space="0" w:color="000000"/>
              <w:right w:val="single" w:sz="4" w:space="0" w:color="000000"/>
            </w:tcBorders>
            <w:shd w:val="clear" w:color="FFFFFF" w:fill="FFFFFF"/>
            <w:noWrap/>
            <w:vAlign w:val="bottom"/>
            <w:hideMark/>
          </w:tcPr>
          <w:p w14:paraId="2502B783"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SECURED FUNDING</w:t>
            </w:r>
          </w:p>
        </w:tc>
        <w:tc>
          <w:tcPr>
            <w:tcW w:w="1830" w:type="dxa"/>
            <w:tcBorders>
              <w:top w:val="nil"/>
              <w:left w:val="nil"/>
              <w:bottom w:val="single" w:sz="4" w:space="0" w:color="000000"/>
              <w:right w:val="single" w:sz="4" w:space="0" w:color="000000"/>
            </w:tcBorders>
            <w:shd w:val="clear" w:color="FFFFFF" w:fill="FFFFFF"/>
            <w:noWrap/>
            <w:vAlign w:val="center"/>
          </w:tcPr>
          <w:p w14:paraId="7446EB43" w14:textId="1E0859F1" w:rsidR="006D4CF0" w:rsidRPr="00DE68A1" w:rsidRDefault="006D4CF0" w:rsidP="000C403F">
            <w:pPr>
              <w:bidi w:val="0"/>
              <w:jc w:val="center"/>
              <w:rPr>
                <w:rFonts w:asciiTheme="minorHAnsi" w:hAnsiTheme="minorHAnsi" w:cstheme="minorHAnsi"/>
                <w:color w:val="333333"/>
                <w:sz w:val="18"/>
                <w:szCs w:val="18"/>
              </w:rPr>
            </w:pPr>
          </w:p>
        </w:tc>
        <w:tc>
          <w:tcPr>
            <w:tcW w:w="1957" w:type="dxa"/>
            <w:tcBorders>
              <w:top w:val="nil"/>
              <w:left w:val="nil"/>
              <w:bottom w:val="single" w:sz="4" w:space="0" w:color="000000"/>
              <w:right w:val="single" w:sz="4" w:space="0" w:color="000000"/>
            </w:tcBorders>
            <w:shd w:val="clear" w:color="FFFFFF" w:fill="FFFFFF"/>
            <w:noWrap/>
            <w:vAlign w:val="center"/>
          </w:tcPr>
          <w:p w14:paraId="5FBC5EE7" w14:textId="416F2CFF" w:rsidR="006D4CF0" w:rsidRPr="00DE68A1" w:rsidRDefault="006D4CF0" w:rsidP="000C403F">
            <w:pPr>
              <w:bidi w:val="0"/>
              <w:jc w:val="center"/>
              <w:rPr>
                <w:rFonts w:asciiTheme="minorHAnsi" w:hAnsiTheme="minorHAnsi" w:cstheme="minorHAnsi"/>
                <w:color w:val="333333"/>
                <w:sz w:val="18"/>
                <w:szCs w:val="18"/>
              </w:rPr>
            </w:pPr>
          </w:p>
        </w:tc>
      </w:tr>
      <w:tr w:rsidR="006D4CF0" w:rsidRPr="00DE68A1" w14:paraId="3D4C082E"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65582D68"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8FBFC"/>
            <w:noWrap/>
            <w:vAlign w:val="bottom"/>
            <w:hideMark/>
          </w:tcPr>
          <w:p w14:paraId="02D2D06B"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9</w:t>
            </w:r>
          </w:p>
        </w:tc>
        <w:tc>
          <w:tcPr>
            <w:tcW w:w="2817" w:type="dxa"/>
            <w:tcBorders>
              <w:top w:val="nil"/>
              <w:left w:val="nil"/>
              <w:bottom w:val="single" w:sz="4" w:space="0" w:color="000000"/>
              <w:right w:val="single" w:sz="4" w:space="0" w:color="000000"/>
            </w:tcBorders>
            <w:shd w:val="clear" w:color="FFFFFF" w:fill="F8FBFC"/>
            <w:noWrap/>
            <w:vAlign w:val="bottom"/>
            <w:hideMark/>
          </w:tcPr>
          <w:p w14:paraId="6C923FFB"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OTHER CASH OUTFLOWS, INCLUDING:</w:t>
            </w:r>
          </w:p>
        </w:tc>
        <w:tc>
          <w:tcPr>
            <w:tcW w:w="1830" w:type="dxa"/>
            <w:tcBorders>
              <w:top w:val="nil"/>
              <w:left w:val="nil"/>
              <w:bottom w:val="single" w:sz="4" w:space="0" w:color="000000"/>
              <w:right w:val="single" w:sz="4" w:space="0" w:color="000000"/>
            </w:tcBorders>
            <w:shd w:val="clear" w:color="FFFFFF" w:fill="F8FBFC"/>
            <w:noWrap/>
            <w:vAlign w:val="center"/>
          </w:tcPr>
          <w:p w14:paraId="41AD7958" w14:textId="311A60FC"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232,682</w:t>
            </w:r>
          </w:p>
        </w:tc>
        <w:tc>
          <w:tcPr>
            <w:tcW w:w="1957" w:type="dxa"/>
            <w:tcBorders>
              <w:top w:val="nil"/>
              <w:left w:val="nil"/>
              <w:bottom w:val="single" w:sz="4" w:space="0" w:color="000000"/>
              <w:right w:val="single" w:sz="4" w:space="0" w:color="000000"/>
            </w:tcBorders>
            <w:shd w:val="clear" w:color="FFFFFF" w:fill="F8FBFC"/>
            <w:noWrap/>
            <w:vAlign w:val="center"/>
          </w:tcPr>
          <w:p w14:paraId="37150ACC" w14:textId="5C0768B4"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40,839</w:t>
            </w:r>
          </w:p>
        </w:tc>
      </w:tr>
      <w:tr w:rsidR="006D4CF0" w:rsidRPr="00DE68A1" w14:paraId="51970915"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28E29EE9"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FFFFF"/>
            <w:noWrap/>
            <w:vAlign w:val="bottom"/>
            <w:hideMark/>
          </w:tcPr>
          <w:p w14:paraId="18F70E17"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10</w:t>
            </w:r>
          </w:p>
        </w:tc>
        <w:tc>
          <w:tcPr>
            <w:tcW w:w="2817" w:type="dxa"/>
            <w:tcBorders>
              <w:top w:val="nil"/>
              <w:left w:val="nil"/>
              <w:bottom w:val="single" w:sz="4" w:space="0" w:color="000000"/>
              <w:right w:val="single" w:sz="4" w:space="0" w:color="000000"/>
            </w:tcBorders>
            <w:shd w:val="clear" w:color="FFFFFF" w:fill="FFFFFF"/>
            <w:noWrap/>
            <w:vAlign w:val="bottom"/>
            <w:hideMark/>
          </w:tcPr>
          <w:p w14:paraId="58E439BB"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 xml:space="preserve">   &gt;   FROM DERIVATIVES</w:t>
            </w:r>
          </w:p>
        </w:tc>
        <w:tc>
          <w:tcPr>
            <w:tcW w:w="1830" w:type="dxa"/>
            <w:tcBorders>
              <w:top w:val="nil"/>
              <w:left w:val="nil"/>
              <w:bottom w:val="single" w:sz="4" w:space="0" w:color="000000"/>
              <w:right w:val="single" w:sz="4" w:space="0" w:color="000000"/>
            </w:tcBorders>
            <w:shd w:val="clear" w:color="FFFFFF" w:fill="FFFFFF"/>
            <w:noWrap/>
            <w:vAlign w:val="center"/>
          </w:tcPr>
          <w:p w14:paraId="4687AFAC" w14:textId="611E0030" w:rsidR="006D4CF0" w:rsidRPr="00DE68A1" w:rsidRDefault="006D4CF0" w:rsidP="000C403F">
            <w:pPr>
              <w:bidi w:val="0"/>
              <w:jc w:val="center"/>
              <w:rPr>
                <w:rFonts w:asciiTheme="minorHAnsi" w:hAnsiTheme="minorHAnsi" w:cstheme="minorHAnsi"/>
                <w:color w:val="333333"/>
                <w:sz w:val="18"/>
                <w:szCs w:val="18"/>
              </w:rPr>
            </w:pPr>
          </w:p>
        </w:tc>
        <w:tc>
          <w:tcPr>
            <w:tcW w:w="1957" w:type="dxa"/>
            <w:tcBorders>
              <w:top w:val="nil"/>
              <w:left w:val="nil"/>
              <w:bottom w:val="single" w:sz="4" w:space="0" w:color="000000"/>
              <w:right w:val="single" w:sz="4" w:space="0" w:color="000000"/>
            </w:tcBorders>
            <w:shd w:val="clear" w:color="FFFFFF" w:fill="FFFFFF"/>
            <w:noWrap/>
            <w:vAlign w:val="center"/>
          </w:tcPr>
          <w:p w14:paraId="5E6B332C" w14:textId="56FA0B33" w:rsidR="006D4CF0" w:rsidRPr="00DE68A1" w:rsidRDefault="006D4CF0" w:rsidP="000C403F">
            <w:pPr>
              <w:bidi w:val="0"/>
              <w:jc w:val="center"/>
              <w:rPr>
                <w:rFonts w:asciiTheme="minorHAnsi" w:hAnsiTheme="minorHAnsi" w:cstheme="minorHAnsi"/>
                <w:color w:val="333333"/>
                <w:sz w:val="18"/>
                <w:szCs w:val="18"/>
              </w:rPr>
            </w:pPr>
          </w:p>
        </w:tc>
      </w:tr>
      <w:tr w:rsidR="006D4CF0" w:rsidRPr="00DE68A1" w14:paraId="0BF2A65F"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2A444C43"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8FBFC"/>
            <w:noWrap/>
            <w:vAlign w:val="bottom"/>
            <w:hideMark/>
          </w:tcPr>
          <w:p w14:paraId="192E73D2"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11</w:t>
            </w:r>
          </w:p>
        </w:tc>
        <w:tc>
          <w:tcPr>
            <w:tcW w:w="2817" w:type="dxa"/>
            <w:tcBorders>
              <w:top w:val="nil"/>
              <w:left w:val="nil"/>
              <w:bottom w:val="single" w:sz="4" w:space="0" w:color="000000"/>
              <w:right w:val="single" w:sz="4" w:space="0" w:color="000000"/>
            </w:tcBorders>
            <w:shd w:val="clear" w:color="FFFFFF" w:fill="F8FBFC"/>
            <w:noWrap/>
            <w:vAlign w:val="bottom"/>
            <w:hideMark/>
          </w:tcPr>
          <w:p w14:paraId="261DEBB9"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 xml:space="preserve">   &gt;   FROM ASSET-BACKED SECURITIES AND COMMERCIAL PAPERS (ASSUMING NON-FEASIBILITY OF RE-FINANCING)</w:t>
            </w:r>
          </w:p>
        </w:tc>
        <w:tc>
          <w:tcPr>
            <w:tcW w:w="1830" w:type="dxa"/>
            <w:tcBorders>
              <w:top w:val="nil"/>
              <w:left w:val="nil"/>
              <w:bottom w:val="single" w:sz="4" w:space="0" w:color="000000"/>
              <w:right w:val="single" w:sz="4" w:space="0" w:color="000000"/>
            </w:tcBorders>
            <w:shd w:val="clear" w:color="FFFFFF" w:fill="F8FBFC"/>
            <w:noWrap/>
            <w:vAlign w:val="center"/>
          </w:tcPr>
          <w:p w14:paraId="64E8E708" w14:textId="518C9498" w:rsidR="006D4CF0" w:rsidRPr="00DE68A1" w:rsidRDefault="006D4CF0" w:rsidP="000C403F">
            <w:pPr>
              <w:bidi w:val="0"/>
              <w:jc w:val="center"/>
              <w:rPr>
                <w:rFonts w:asciiTheme="minorHAnsi" w:hAnsiTheme="minorHAnsi" w:cstheme="minorHAnsi"/>
                <w:color w:val="333333"/>
                <w:sz w:val="18"/>
                <w:szCs w:val="18"/>
              </w:rPr>
            </w:pPr>
          </w:p>
        </w:tc>
        <w:tc>
          <w:tcPr>
            <w:tcW w:w="1957" w:type="dxa"/>
            <w:tcBorders>
              <w:top w:val="nil"/>
              <w:left w:val="nil"/>
              <w:bottom w:val="single" w:sz="4" w:space="0" w:color="000000"/>
              <w:right w:val="single" w:sz="4" w:space="0" w:color="000000"/>
            </w:tcBorders>
            <w:shd w:val="clear" w:color="FFFFFF" w:fill="F8FBFC"/>
            <w:noWrap/>
            <w:vAlign w:val="center"/>
          </w:tcPr>
          <w:p w14:paraId="55F3FB0B" w14:textId="192D68BB" w:rsidR="006D4CF0" w:rsidRPr="00DE68A1" w:rsidRDefault="006D4CF0" w:rsidP="000C403F">
            <w:pPr>
              <w:bidi w:val="0"/>
              <w:jc w:val="center"/>
              <w:rPr>
                <w:rFonts w:asciiTheme="minorHAnsi" w:hAnsiTheme="minorHAnsi" w:cstheme="minorHAnsi"/>
                <w:color w:val="333333"/>
                <w:sz w:val="18"/>
                <w:szCs w:val="18"/>
              </w:rPr>
            </w:pPr>
          </w:p>
        </w:tc>
      </w:tr>
      <w:tr w:rsidR="006D4CF0" w:rsidRPr="00DE68A1" w14:paraId="0D9929C5"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76E54806"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FFFFF"/>
            <w:noWrap/>
            <w:vAlign w:val="bottom"/>
            <w:hideMark/>
          </w:tcPr>
          <w:p w14:paraId="55091340"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12</w:t>
            </w:r>
          </w:p>
        </w:tc>
        <w:tc>
          <w:tcPr>
            <w:tcW w:w="2817" w:type="dxa"/>
            <w:tcBorders>
              <w:top w:val="nil"/>
              <w:left w:val="nil"/>
              <w:bottom w:val="single" w:sz="4" w:space="0" w:color="000000"/>
              <w:right w:val="single" w:sz="4" w:space="0" w:color="000000"/>
            </w:tcBorders>
            <w:shd w:val="clear" w:color="FFFFFF" w:fill="FFFFFF"/>
            <w:noWrap/>
            <w:vAlign w:val="bottom"/>
            <w:hideMark/>
          </w:tcPr>
          <w:p w14:paraId="58346EDE"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 xml:space="preserve">   &gt;   COMMITTED CREDIT AND LIQUIDITY DRAWBACKS</w:t>
            </w:r>
          </w:p>
        </w:tc>
        <w:tc>
          <w:tcPr>
            <w:tcW w:w="1830" w:type="dxa"/>
            <w:tcBorders>
              <w:top w:val="nil"/>
              <w:left w:val="nil"/>
              <w:bottom w:val="single" w:sz="4" w:space="0" w:color="000000"/>
              <w:right w:val="single" w:sz="4" w:space="0" w:color="000000"/>
            </w:tcBorders>
            <w:shd w:val="clear" w:color="FFFFFF" w:fill="FFFFFF"/>
            <w:noWrap/>
            <w:vAlign w:val="center"/>
          </w:tcPr>
          <w:p w14:paraId="6E8E14B6" w14:textId="2348B455"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232,682</w:t>
            </w:r>
          </w:p>
        </w:tc>
        <w:tc>
          <w:tcPr>
            <w:tcW w:w="1957" w:type="dxa"/>
            <w:tcBorders>
              <w:top w:val="nil"/>
              <w:left w:val="nil"/>
              <w:bottom w:val="single" w:sz="4" w:space="0" w:color="000000"/>
              <w:right w:val="single" w:sz="4" w:space="0" w:color="000000"/>
            </w:tcBorders>
            <w:shd w:val="clear" w:color="FFFFFF" w:fill="FFFFFF"/>
            <w:noWrap/>
            <w:vAlign w:val="center"/>
          </w:tcPr>
          <w:p w14:paraId="5BBD70B1" w14:textId="373AECC8"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40,839</w:t>
            </w:r>
          </w:p>
        </w:tc>
      </w:tr>
      <w:tr w:rsidR="006D4CF0" w:rsidRPr="00DE68A1" w14:paraId="5D4F9096"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47E41A85"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8FBFC"/>
            <w:noWrap/>
            <w:vAlign w:val="bottom"/>
            <w:hideMark/>
          </w:tcPr>
          <w:p w14:paraId="14DA43C0"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13</w:t>
            </w:r>
          </w:p>
        </w:tc>
        <w:tc>
          <w:tcPr>
            <w:tcW w:w="2817" w:type="dxa"/>
            <w:tcBorders>
              <w:top w:val="nil"/>
              <w:left w:val="nil"/>
              <w:bottom w:val="single" w:sz="4" w:space="0" w:color="000000"/>
              <w:right w:val="single" w:sz="4" w:space="0" w:color="000000"/>
            </w:tcBorders>
            <w:shd w:val="clear" w:color="FFFFFF" w:fill="F8FBFC"/>
            <w:noWrap/>
            <w:vAlign w:val="bottom"/>
            <w:hideMark/>
          </w:tcPr>
          <w:p w14:paraId="1465D1A7"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OTHER PROSPECTIVE FUTURE FUNDING OBLIGATIONS</w:t>
            </w:r>
          </w:p>
        </w:tc>
        <w:tc>
          <w:tcPr>
            <w:tcW w:w="1830" w:type="dxa"/>
            <w:tcBorders>
              <w:top w:val="nil"/>
              <w:left w:val="nil"/>
              <w:bottom w:val="single" w:sz="4" w:space="0" w:color="000000"/>
              <w:right w:val="single" w:sz="4" w:space="0" w:color="000000"/>
            </w:tcBorders>
            <w:shd w:val="clear" w:color="FFFFFF" w:fill="F8FBFC"/>
            <w:noWrap/>
            <w:vAlign w:val="center"/>
          </w:tcPr>
          <w:p w14:paraId="2128B04A" w14:textId="6A9A8E91"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74,275</w:t>
            </w:r>
          </w:p>
        </w:tc>
        <w:tc>
          <w:tcPr>
            <w:tcW w:w="1957" w:type="dxa"/>
            <w:tcBorders>
              <w:top w:val="nil"/>
              <w:left w:val="nil"/>
              <w:bottom w:val="single" w:sz="4" w:space="0" w:color="000000"/>
              <w:right w:val="single" w:sz="4" w:space="0" w:color="000000"/>
            </w:tcBorders>
            <w:shd w:val="clear" w:color="FFFFFF" w:fill="F8FBFC"/>
            <w:noWrap/>
            <w:vAlign w:val="center"/>
          </w:tcPr>
          <w:p w14:paraId="30FFB856" w14:textId="465C4FAE"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3,714</w:t>
            </w:r>
          </w:p>
        </w:tc>
      </w:tr>
      <w:tr w:rsidR="006D4CF0" w:rsidRPr="00DE68A1" w14:paraId="48C87DE6"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506AA00F"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FFFFF"/>
            <w:noWrap/>
            <w:vAlign w:val="bottom"/>
            <w:hideMark/>
          </w:tcPr>
          <w:p w14:paraId="258B49ED"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14</w:t>
            </w:r>
          </w:p>
        </w:tc>
        <w:tc>
          <w:tcPr>
            <w:tcW w:w="2817" w:type="dxa"/>
            <w:tcBorders>
              <w:top w:val="nil"/>
              <w:left w:val="nil"/>
              <w:bottom w:val="single" w:sz="4" w:space="0" w:color="000000"/>
              <w:right w:val="single" w:sz="4" w:space="0" w:color="000000"/>
            </w:tcBorders>
            <w:shd w:val="clear" w:color="FFFFFF" w:fill="FFFFFF"/>
            <w:noWrap/>
            <w:vAlign w:val="bottom"/>
            <w:hideMark/>
          </w:tcPr>
          <w:p w14:paraId="6B9FC0D8"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OTHER CASH CONTRACTUAL OUTFLOWS</w:t>
            </w:r>
          </w:p>
        </w:tc>
        <w:tc>
          <w:tcPr>
            <w:tcW w:w="1830" w:type="dxa"/>
            <w:tcBorders>
              <w:top w:val="nil"/>
              <w:left w:val="nil"/>
              <w:bottom w:val="single" w:sz="4" w:space="0" w:color="000000"/>
              <w:right w:val="single" w:sz="4" w:space="0" w:color="000000"/>
            </w:tcBorders>
            <w:shd w:val="clear" w:color="FFFFFF" w:fill="FFFFFF"/>
            <w:noWrap/>
            <w:vAlign w:val="center"/>
          </w:tcPr>
          <w:p w14:paraId="6AB5FDB3" w14:textId="5E699B7A"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10</w:t>
            </w:r>
          </w:p>
        </w:tc>
        <w:tc>
          <w:tcPr>
            <w:tcW w:w="1957" w:type="dxa"/>
            <w:tcBorders>
              <w:top w:val="nil"/>
              <w:left w:val="nil"/>
              <w:bottom w:val="single" w:sz="4" w:space="0" w:color="000000"/>
              <w:right w:val="single" w:sz="4" w:space="0" w:color="000000"/>
            </w:tcBorders>
            <w:shd w:val="clear" w:color="FFFFFF" w:fill="FFFFFF"/>
            <w:noWrap/>
            <w:vAlign w:val="center"/>
          </w:tcPr>
          <w:p w14:paraId="62D2B722" w14:textId="147E8C49"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10</w:t>
            </w:r>
          </w:p>
        </w:tc>
      </w:tr>
      <w:tr w:rsidR="006D4CF0" w:rsidRPr="00DE68A1" w14:paraId="0BEC655F"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4E92C5A2"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8FBFC"/>
            <w:noWrap/>
            <w:vAlign w:val="bottom"/>
            <w:hideMark/>
          </w:tcPr>
          <w:p w14:paraId="6FB4B2F6"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15</w:t>
            </w:r>
          </w:p>
        </w:tc>
        <w:tc>
          <w:tcPr>
            <w:tcW w:w="2817" w:type="dxa"/>
            <w:tcBorders>
              <w:top w:val="nil"/>
              <w:left w:val="nil"/>
              <w:bottom w:val="single" w:sz="4" w:space="0" w:color="000000"/>
              <w:right w:val="single" w:sz="4" w:space="0" w:color="000000"/>
            </w:tcBorders>
            <w:shd w:val="clear" w:color="FFFFFF" w:fill="F8FBFC"/>
            <w:noWrap/>
            <w:vAlign w:val="bottom"/>
            <w:hideMark/>
          </w:tcPr>
          <w:p w14:paraId="024282C7"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TOTAL CASH OUTFLOWS</w:t>
            </w:r>
          </w:p>
        </w:tc>
        <w:tc>
          <w:tcPr>
            <w:tcW w:w="1830" w:type="dxa"/>
            <w:tcBorders>
              <w:top w:val="nil"/>
              <w:left w:val="nil"/>
              <w:bottom w:val="single" w:sz="4" w:space="0" w:color="000000"/>
              <w:right w:val="single" w:sz="4" w:space="0" w:color="000000"/>
            </w:tcBorders>
            <w:shd w:val="clear" w:color="FFFFFF" w:fill="000000"/>
            <w:noWrap/>
            <w:vAlign w:val="center"/>
            <w:hideMark/>
          </w:tcPr>
          <w:p w14:paraId="4C9FC610" w14:textId="55D894C0" w:rsidR="006D4CF0" w:rsidRPr="00DE68A1" w:rsidRDefault="006D4CF0" w:rsidP="000C403F">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647427</w:t>
            </w:r>
          </w:p>
        </w:tc>
        <w:tc>
          <w:tcPr>
            <w:tcW w:w="1957" w:type="dxa"/>
            <w:tcBorders>
              <w:top w:val="nil"/>
              <w:left w:val="nil"/>
              <w:bottom w:val="single" w:sz="4" w:space="0" w:color="000000"/>
              <w:right w:val="single" w:sz="4" w:space="0" w:color="000000"/>
            </w:tcBorders>
            <w:shd w:val="clear" w:color="FFFFFF" w:fill="F8FBFC"/>
            <w:noWrap/>
            <w:vAlign w:val="center"/>
          </w:tcPr>
          <w:p w14:paraId="287E2F61" w14:textId="70CF677C"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64,352</w:t>
            </w:r>
          </w:p>
        </w:tc>
      </w:tr>
      <w:tr w:rsidR="000C519B" w:rsidRPr="00DE68A1" w14:paraId="072B6DC2" w14:textId="77777777" w:rsidTr="000C403F">
        <w:trPr>
          <w:trHeight w:val="292"/>
        </w:trPr>
        <w:tc>
          <w:tcPr>
            <w:tcW w:w="1512"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14:paraId="06F9ABC8" w14:textId="77777777" w:rsidR="000C519B" w:rsidRPr="00DE68A1" w:rsidRDefault="000C519B" w:rsidP="000C519B">
            <w:pPr>
              <w:bidi w:val="0"/>
              <w:rPr>
                <w:rFonts w:asciiTheme="minorHAnsi" w:hAnsiTheme="minorHAnsi" w:cstheme="minorHAnsi"/>
                <w:b/>
                <w:bCs/>
                <w:color w:val="333333"/>
                <w:sz w:val="16"/>
                <w:szCs w:val="16"/>
              </w:rPr>
            </w:pPr>
            <w:r w:rsidRPr="00DE68A1">
              <w:rPr>
                <w:rFonts w:asciiTheme="minorHAnsi" w:hAnsiTheme="minorHAnsi" w:cstheme="minorHAnsi"/>
                <w:b/>
                <w:bCs/>
                <w:color w:val="333333"/>
                <w:sz w:val="16"/>
                <w:szCs w:val="16"/>
              </w:rPr>
              <w:t>CASH INFLOWS</w:t>
            </w:r>
          </w:p>
        </w:tc>
        <w:tc>
          <w:tcPr>
            <w:tcW w:w="756" w:type="dxa"/>
            <w:tcBorders>
              <w:top w:val="nil"/>
              <w:left w:val="nil"/>
              <w:bottom w:val="single" w:sz="4" w:space="0" w:color="000000"/>
              <w:right w:val="single" w:sz="4" w:space="0" w:color="000000"/>
            </w:tcBorders>
            <w:shd w:val="clear" w:color="FFFFFF" w:fill="FFFFFF"/>
            <w:noWrap/>
            <w:vAlign w:val="bottom"/>
            <w:hideMark/>
          </w:tcPr>
          <w:p w14:paraId="333FC8F6" w14:textId="77777777" w:rsidR="000C519B" w:rsidRPr="00DE68A1" w:rsidRDefault="000C519B" w:rsidP="000C519B">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16</w:t>
            </w:r>
          </w:p>
        </w:tc>
        <w:tc>
          <w:tcPr>
            <w:tcW w:w="2817" w:type="dxa"/>
            <w:tcBorders>
              <w:top w:val="nil"/>
              <w:left w:val="nil"/>
              <w:bottom w:val="single" w:sz="4" w:space="0" w:color="000000"/>
              <w:right w:val="single" w:sz="4" w:space="0" w:color="000000"/>
            </w:tcBorders>
            <w:shd w:val="clear" w:color="FFFFFF" w:fill="FFFFFF"/>
            <w:noWrap/>
            <w:vAlign w:val="bottom"/>
            <w:hideMark/>
          </w:tcPr>
          <w:p w14:paraId="310D4CC6" w14:textId="77777777" w:rsidR="000C519B" w:rsidRPr="00DE68A1" w:rsidRDefault="000C519B" w:rsidP="000C519B">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SECURED LENDING TRANSACTIONS</w:t>
            </w:r>
          </w:p>
        </w:tc>
        <w:tc>
          <w:tcPr>
            <w:tcW w:w="1830" w:type="dxa"/>
            <w:tcBorders>
              <w:top w:val="nil"/>
              <w:left w:val="nil"/>
              <w:bottom w:val="single" w:sz="4" w:space="0" w:color="000000"/>
              <w:right w:val="single" w:sz="4" w:space="0" w:color="000000"/>
            </w:tcBorders>
            <w:shd w:val="clear" w:color="FFFFFF" w:fill="FFFFFF"/>
            <w:noWrap/>
            <w:vAlign w:val="center"/>
            <w:hideMark/>
          </w:tcPr>
          <w:p w14:paraId="664725BD" w14:textId="6F4CEBDD" w:rsidR="000C519B" w:rsidRPr="00DE68A1" w:rsidRDefault="000C519B" w:rsidP="000C403F">
            <w:pPr>
              <w:bidi w:val="0"/>
              <w:jc w:val="center"/>
              <w:rPr>
                <w:rFonts w:asciiTheme="minorHAnsi" w:hAnsiTheme="minorHAnsi" w:cstheme="minorHAnsi"/>
                <w:color w:val="333333"/>
                <w:sz w:val="18"/>
                <w:szCs w:val="18"/>
              </w:rPr>
            </w:pPr>
          </w:p>
        </w:tc>
        <w:tc>
          <w:tcPr>
            <w:tcW w:w="1957" w:type="dxa"/>
            <w:tcBorders>
              <w:top w:val="nil"/>
              <w:left w:val="nil"/>
              <w:bottom w:val="single" w:sz="4" w:space="0" w:color="000000"/>
              <w:right w:val="single" w:sz="4" w:space="0" w:color="000000"/>
            </w:tcBorders>
            <w:shd w:val="clear" w:color="FFFFFF" w:fill="FFFFFF"/>
            <w:noWrap/>
            <w:vAlign w:val="center"/>
          </w:tcPr>
          <w:p w14:paraId="527FAD62" w14:textId="75016582" w:rsidR="000C519B" w:rsidRPr="00DE68A1" w:rsidRDefault="000C519B" w:rsidP="000C403F">
            <w:pPr>
              <w:bidi w:val="0"/>
              <w:jc w:val="center"/>
              <w:rPr>
                <w:rFonts w:asciiTheme="minorHAnsi" w:hAnsiTheme="minorHAnsi" w:cstheme="minorHAnsi"/>
                <w:color w:val="333333"/>
                <w:sz w:val="18"/>
                <w:szCs w:val="18"/>
              </w:rPr>
            </w:pPr>
          </w:p>
        </w:tc>
      </w:tr>
      <w:tr w:rsidR="006D4CF0" w:rsidRPr="00DE68A1" w14:paraId="68FDCCAD"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281E6732"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8FBFC"/>
            <w:noWrap/>
            <w:vAlign w:val="bottom"/>
            <w:hideMark/>
          </w:tcPr>
          <w:p w14:paraId="3169BA16"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17</w:t>
            </w:r>
          </w:p>
        </w:tc>
        <w:tc>
          <w:tcPr>
            <w:tcW w:w="2817" w:type="dxa"/>
            <w:tcBorders>
              <w:top w:val="nil"/>
              <w:left w:val="nil"/>
              <w:bottom w:val="single" w:sz="4" w:space="0" w:color="000000"/>
              <w:right w:val="single" w:sz="4" w:space="0" w:color="000000"/>
            </w:tcBorders>
            <w:shd w:val="clear" w:color="FFFFFF" w:fill="F8FBFC"/>
            <w:noWrap/>
            <w:vAlign w:val="bottom"/>
            <w:hideMark/>
          </w:tcPr>
          <w:p w14:paraId="4014BE6D"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CASH INFLOWS FROM PERFORMING LOANS</w:t>
            </w:r>
          </w:p>
        </w:tc>
        <w:tc>
          <w:tcPr>
            <w:tcW w:w="1830" w:type="dxa"/>
            <w:tcBorders>
              <w:top w:val="nil"/>
              <w:left w:val="nil"/>
              <w:bottom w:val="single" w:sz="4" w:space="0" w:color="000000"/>
              <w:right w:val="single" w:sz="4" w:space="0" w:color="000000"/>
            </w:tcBorders>
            <w:shd w:val="clear" w:color="FFFFFF" w:fill="F8FBFC"/>
            <w:noWrap/>
            <w:vAlign w:val="center"/>
          </w:tcPr>
          <w:p w14:paraId="76DA2CAB" w14:textId="5FC1E2CD"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645,280</w:t>
            </w:r>
          </w:p>
        </w:tc>
        <w:tc>
          <w:tcPr>
            <w:tcW w:w="1957" w:type="dxa"/>
            <w:tcBorders>
              <w:top w:val="nil"/>
              <w:left w:val="nil"/>
              <w:bottom w:val="single" w:sz="4" w:space="0" w:color="000000"/>
              <w:right w:val="single" w:sz="4" w:space="0" w:color="000000"/>
            </w:tcBorders>
            <w:shd w:val="clear" w:color="FFFFFF" w:fill="F8FBFC"/>
            <w:noWrap/>
            <w:vAlign w:val="center"/>
          </w:tcPr>
          <w:p w14:paraId="2AF08A7E" w14:textId="2C26BBE6"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322,640</w:t>
            </w:r>
          </w:p>
        </w:tc>
      </w:tr>
      <w:tr w:rsidR="006D4CF0" w:rsidRPr="00DE68A1" w14:paraId="4A38E9DF"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6BA1FEEF"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FFFFF"/>
            <w:noWrap/>
            <w:vAlign w:val="bottom"/>
            <w:hideMark/>
          </w:tcPr>
          <w:p w14:paraId="40BDFADB"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18</w:t>
            </w:r>
          </w:p>
        </w:tc>
        <w:tc>
          <w:tcPr>
            <w:tcW w:w="2817" w:type="dxa"/>
            <w:tcBorders>
              <w:top w:val="nil"/>
              <w:left w:val="nil"/>
              <w:bottom w:val="single" w:sz="4" w:space="0" w:color="000000"/>
              <w:right w:val="single" w:sz="4" w:space="0" w:color="000000"/>
            </w:tcBorders>
            <w:shd w:val="clear" w:color="FFFFFF" w:fill="FFFFFF"/>
            <w:noWrap/>
            <w:vAlign w:val="bottom"/>
            <w:hideMark/>
          </w:tcPr>
          <w:p w14:paraId="534D69EA"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OTHER CASH INFLOWS</w:t>
            </w:r>
          </w:p>
        </w:tc>
        <w:tc>
          <w:tcPr>
            <w:tcW w:w="1830" w:type="dxa"/>
            <w:tcBorders>
              <w:top w:val="nil"/>
              <w:left w:val="nil"/>
              <w:bottom w:val="single" w:sz="4" w:space="0" w:color="000000"/>
              <w:right w:val="single" w:sz="4" w:space="0" w:color="000000"/>
            </w:tcBorders>
            <w:shd w:val="clear" w:color="FFFFFF" w:fill="FFFFFF"/>
            <w:noWrap/>
            <w:vAlign w:val="center"/>
          </w:tcPr>
          <w:p w14:paraId="5BE5255A" w14:textId="65032FD5"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202</w:t>
            </w:r>
          </w:p>
        </w:tc>
        <w:tc>
          <w:tcPr>
            <w:tcW w:w="1957" w:type="dxa"/>
            <w:tcBorders>
              <w:top w:val="nil"/>
              <w:left w:val="nil"/>
              <w:bottom w:val="single" w:sz="4" w:space="0" w:color="000000"/>
              <w:right w:val="single" w:sz="4" w:space="0" w:color="000000"/>
            </w:tcBorders>
            <w:shd w:val="clear" w:color="FFFFFF" w:fill="FFFFFF"/>
            <w:noWrap/>
            <w:vAlign w:val="center"/>
          </w:tcPr>
          <w:p w14:paraId="00D6C464" w14:textId="464EF0F2"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202</w:t>
            </w:r>
          </w:p>
        </w:tc>
      </w:tr>
      <w:tr w:rsidR="006D4CF0" w:rsidRPr="00DE68A1" w14:paraId="6ABCFF1C"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0470FD0A"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8FBFC"/>
            <w:noWrap/>
            <w:vAlign w:val="bottom"/>
            <w:hideMark/>
          </w:tcPr>
          <w:p w14:paraId="7DA80C38"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19</w:t>
            </w:r>
          </w:p>
        </w:tc>
        <w:tc>
          <w:tcPr>
            <w:tcW w:w="2817" w:type="dxa"/>
            <w:tcBorders>
              <w:top w:val="nil"/>
              <w:left w:val="nil"/>
              <w:bottom w:val="single" w:sz="4" w:space="0" w:color="000000"/>
              <w:right w:val="single" w:sz="4" w:space="0" w:color="000000"/>
            </w:tcBorders>
            <w:shd w:val="clear" w:color="FFFFFF" w:fill="F8FBFC"/>
            <w:noWrap/>
            <w:vAlign w:val="bottom"/>
            <w:hideMark/>
          </w:tcPr>
          <w:p w14:paraId="32E9CB43"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TOTAL CASH INFLOW</w:t>
            </w:r>
          </w:p>
        </w:tc>
        <w:tc>
          <w:tcPr>
            <w:tcW w:w="1830" w:type="dxa"/>
            <w:tcBorders>
              <w:top w:val="nil"/>
              <w:left w:val="nil"/>
              <w:bottom w:val="single" w:sz="4" w:space="0" w:color="000000"/>
              <w:right w:val="single" w:sz="4" w:space="0" w:color="000000"/>
            </w:tcBorders>
            <w:shd w:val="clear" w:color="FFFFFF" w:fill="F8FBFC"/>
            <w:noWrap/>
            <w:vAlign w:val="center"/>
          </w:tcPr>
          <w:p w14:paraId="4E279A30" w14:textId="5D7E4356"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645,482</w:t>
            </w:r>
          </w:p>
        </w:tc>
        <w:tc>
          <w:tcPr>
            <w:tcW w:w="1957" w:type="dxa"/>
            <w:tcBorders>
              <w:top w:val="nil"/>
              <w:left w:val="nil"/>
              <w:bottom w:val="single" w:sz="4" w:space="0" w:color="000000"/>
              <w:right w:val="single" w:sz="4" w:space="0" w:color="000000"/>
            </w:tcBorders>
            <w:shd w:val="clear" w:color="FFFFFF" w:fill="F8FBFC"/>
            <w:noWrap/>
            <w:vAlign w:val="center"/>
          </w:tcPr>
          <w:p w14:paraId="6052FCE6" w14:textId="4FEA28C3"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322,842</w:t>
            </w:r>
          </w:p>
        </w:tc>
      </w:tr>
      <w:tr w:rsidR="006D4CF0" w:rsidRPr="00DE68A1" w14:paraId="6B6B8C8E" w14:textId="77777777" w:rsidTr="000C403F">
        <w:trPr>
          <w:trHeight w:val="292"/>
        </w:trPr>
        <w:tc>
          <w:tcPr>
            <w:tcW w:w="1512"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14:paraId="6F93C32A" w14:textId="77777777" w:rsidR="006D4CF0" w:rsidRPr="00DE68A1" w:rsidRDefault="006D4CF0" w:rsidP="006D4CF0">
            <w:pPr>
              <w:bidi w:val="0"/>
              <w:rPr>
                <w:rFonts w:asciiTheme="minorHAnsi" w:hAnsiTheme="minorHAnsi" w:cstheme="minorHAnsi"/>
                <w:b/>
                <w:bCs/>
                <w:color w:val="333333"/>
                <w:sz w:val="16"/>
                <w:szCs w:val="16"/>
              </w:rPr>
            </w:pPr>
            <w:r w:rsidRPr="00DE68A1">
              <w:rPr>
                <w:rFonts w:asciiTheme="minorHAnsi" w:hAnsiTheme="minorHAnsi" w:cstheme="minorHAnsi"/>
                <w:b/>
                <w:bCs/>
                <w:color w:val="333333"/>
                <w:sz w:val="16"/>
                <w:szCs w:val="16"/>
              </w:rPr>
              <w:t>LIQUIDITY COVERAGE RATIO</w:t>
            </w:r>
          </w:p>
        </w:tc>
        <w:tc>
          <w:tcPr>
            <w:tcW w:w="756" w:type="dxa"/>
            <w:tcBorders>
              <w:top w:val="nil"/>
              <w:left w:val="nil"/>
              <w:bottom w:val="single" w:sz="4" w:space="0" w:color="000000"/>
              <w:right w:val="single" w:sz="4" w:space="0" w:color="000000"/>
            </w:tcBorders>
            <w:shd w:val="clear" w:color="FFFFFF" w:fill="FFFFFF"/>
            <w:noWrap/>
            <w:vAlign w:val="bottom"/>
            <w:hideMark/>
          </w:tcPr>
          <w:p w14:paraId="12B314FA"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20</w:t>
            </w:r>
          </w:p>
        </w:tc>
        <w:tc>
          <w:tcPr>
            <w:tcW w:w="2817" w:type="dxa"/>
            <w:tcBorders>
              <w:top w:val="nil"/>
              <w:left w:val="nil"/>
              <w:bottom w:val="single" w:sz="4" w:space="0" w:color="000000"/>
              <w:right w:val="single" w:sz="4" w:space="0" w:color="000000"/>
            </w:tcBorders>
            <w:shd w:val="clear" w:color="FFFFFF" w:fill="FFFFFF"/>
            <w:noWrap/>
            <w:vAlign w:val="bottom"/>
            <w:hideMark/>
          </w:tcPr>
          <w:p w14:paraId="7B3871E4"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TOTAL HIGH QUALITY LIQUID ASSETS (AFTER REVISIONS)</w:t>
            </w:r>
          </w:p>
        </w:tc>
        <w:tc>
          <w:tcPr>
            <w:tcW w:w="1830" w:type="dxa"/>
            <w:tcBorders>
              <w:top w:val="nil"/>
              <w:left w:val="nil"/>
              <w:bottom w:val="single" w:sz="4" w:space="0" w:color="000000"/>
              <w:right w:val="single" w:sz="4" w:space="0" w:color="000000"/>
            </w:tcBorders>
            <w:shd w:val="clear" w:color="FFFFFF" w:fill="000000"/>
            <w:noWrap/>
            <w:vAlign w:val="center"/>
            <w:hideMark/>
          </w:tcPr>
          <w:p w14:paraId="3F762513" w14:textId="77777777" w:rsidR="006D4CF0" w:rsidRPr="00DE68A1" w:rsidRDefault="006D4CF0" w:rsidP="000C403F">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155,998</w:t>
            </w:r>
          </w:p>
        </w:tc>
        <w:tc>
          <w:tcPr>
            <w:tcW w:w="1957" w:type="dxa"/>
            <w:tcBorders>
              <w:top w:val="nil"/>
              <w:left w:val="nil"/>
              <w:bottom w:val="single" w:sz="4" w:space="0" w:color="000000"/>
              <w:right w:val="single" w:sz="4" w:space="0" w:color="000000"/>
            </w:tcBorders>
            <w:shd w:val="clear" w:color="FFFFFF" w:fill="FFFFFF"/>
            <w:noWrap/>
            <w:vAlign w:val="center"/>
          </w:tcPr>
          <w:p w14:paraId="32791D73" w14:textId="652A979B"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205,509</w:t>
            </w:r>
          </w:p>
        </w:tc>
      </w:tr>
      <w:tr w:rsidR="006D4CF0" w:rsidRPr="00DE68A1" w14:paraId="1263D7D3"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17FC243E"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8FBFC"/>
            <w:noWrap/>
            <w:vAlign w:val="bottom"/>
            <w:hideMark/>
          </w:tcPr>
          <w:p w14:paraId="3F070D5B"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21</w:t>
            </w:r>
          </w:p>
        </w:tc>
        <w:tc>
          <w:tcPr>
            <w:tcW w:w="2817" w:type="dxa"/>
            <w:tcBorders>
              <w:top w:val="nil"/>
              <w:left w:val="nil"/>
              <w:bottom w:val="single" w:sz="4" w:space="0" w:color="000000"/>
              <w:right w:val="single" w:sz="4" w:space="0" w:color="000000"/>
            </w:tcBorders>
            <w:shd w:val="clear" w:color="FFFFFF" w:fill="F8FBFC"/>
            <w:noWrap/>
            <w:vAlign w:val="bottom"/>
            <w:hideMark/>
          </w:tcPr>
          <w:p w14:paraId="0C9823B2"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NET CASH OUTFLOWS</w:t>
            </w:r>
          </w:p>
        </w:tc>
        <w:tc>
          <w:tcPr>
            <w:tcW w:w="1830" w:type="dxa"/>
            <w:tcBorders>
              <w:top w:val="nil"/>
              <w:left w:val="nil"/>
              <w:bottom w:val="single" w:sz="4" w:space="0" w:color="000000"/>
              <w:right w:val="single" w:sz="4" w:space="0" w:color="000000"/>
            </w:tcBorders>
            <w:shd w:val="clear" w:color="FFFFFF" w:fill="000000"/>
            <w:noWrap/>
            <w:vAlign w:val="center"/>
            <w:hideMark/>
          </w:tcPr>
          <w:p w14:paraId="439E09A7" w14:textId="51A01F8A" w:rsidR="006D4CF0" w:rsidRPr="00DE68A1" w:rsidRDefault="006D4CF0" w:rsidP="000C403F">
            <w:pPr>
              <w:bidi w:val="0"/>
              <w:jc w:val="center"/>
              <w:rPr>
                <w:rFonts w:asciiTheme="minorHAnsi" w:hAnsiTheme="minorHAnsi" w:cstheme="minorHAnsi"/>
                <w:color w:val="000000"/>
                <w:sz w:val="18"/>
                <w:szCs w:val="18"/>
              </w:rPr>
            </w:pPr>
          </w:p>
        </w:tc>
        <w:tc>
          <w:tcPr>
            <w:tcW w:w="1957" w:type="dxa"/>
            <w:tcBorders>
              <w:top w:val="nil"/>
              <w:left w:val="nil"/>
              <w:bottom w:val="single" w:sz="4" w:space="0" w:color="000000"/>
              <w:right w:val="single" w:sz="4" w:space="0" w:color="000000"/>
            </w:tcBorders>
            <w:shd w:val="clear" w:color="FFFFFF" w:fill="F8FBFC"/>
            <w:noWrap/>
            <w:vAlign w:val="center"/>
          </w:tcPr>
          <w:p w14:paraId="20E52908" w14:textId="2E06FC30"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16,088</w:t>
            </w:r>
          </w:p>
        </w:tc>
      </w:tr>
      <w:tr w:rsidR="006D4CF0" w:rsidRPr="00DE68A1" w14:paraId="1E301E75" w14:textId="77777777" w:rsidTr="000C403F">
        <w:trPr>
          <w:trHeight w:val="292"/>
        </w:trPr>
        <w:tc>
          <w:tcPr>
            <w:tcW w:w="1512" w:type="dxa"/>
            <w:vMerge/>
            <w:tcBorders>
              <w:top w:val="nil"/>
              <w:left w:val="single" w:sz="4" w:space="0" w:color="000000"/>
              <w:bottom w:val="single" w:sz="4" w:space="0" w:color="000000"/>
              <w:right w:val="single" w:sz="4" w:space="0" w:color="000000"/>
            </w:tcBorders>
            <w:vAlign w:val="center"/>
            <w:hideMark/>
          </w:tcPr>
          <w:p w14:paraId="1B5B6ACF" w14:textId="77777777" w:rsidR="006D4CF0" w:rsidRPr="00DE68A1" w:rsidRDefault="006D4CF0" w:rsidP="006D4CF0">
            <w:pPr>
              <w:bidi w:val="0"/>
              <w:rPr>
                <w:rFonts w:asciiTheme="minorHAnsi" w:hAnsiTheme="minorHAnsi" w:cstheme="minorHAnsi"/>
                <w:b/>
                <w:bCs/>
                <w:color w:val="333333"/>
                <w:sz w:val="16"/>
                <w:szCs w:val="16"/>
              </w:rPr>
            </w:pPr>
          </w:p>
        </w:tc>
        <w:tc>
          <w:tcPr>
            <w:tcW w:w="756" w:type="dxa"/>
            <w:tcBorders>
              <w:top w:val="nil"/>
              <w:left w:val="nil"/>
              <w:bottom w:val="single" w:sz="4" w:space="0" w:color="000000"/>
              <w:right w:val="single" w:sz="4" w:space="0" w:color="000000"/>
            </w:tcBorders>
            <w:shd w:val="clear" w:color="FFFFFF" w:fill="FFFFFF"/>
            <w:noWrap/>
            <w:vAlign w:val="bottom"/>
            <w:hideMark/>
          </w:tcPr>
          <w:p w14:paraId="1D1D40AC" w14:textId="77777777" w:rsidR="006D4CF0" w:rsidRPr="00DE68A1" w:rsidRDefault="006D4CF0" w:rsidP="006D4CF0">
            <w:pPr>
              <w:bidi w:val="0"/>
              <w:jc w:val="center"/>
              <w:rPr>
                <w:rFonts w:asciiTheme="minorHAnsi" w:hAnsiTheme="minorHAnsi" w:cstheme="minorHAnsi"/>
                <w:color w:val="333333"/>
                <w:sz w:val="16"/>
                <w:szCs w:val="16"/>
              </w:rPr>
            </w:pPr>
            <w:r w:rsidRPr="00DE68A1">
              <w:rPr>
                <w:rFonts w:asciiTheme="minorHAnsi" w:hAnsiTheme="minorHAnsi" w:cstheme="minorHAnsi"/>
                <w:color w:val="333333"/>
                <w:sz w:val="16"/>
                <w:szCs w:val="16"/>
              </w:rPr>
              <w:t>22</w:t>
            </w:r>
          </w:p>
        </w:tc>
        <w:tc>
          <w:tcPr>
            <w:tcW w:w="2817" w:type="dxa"/>
            <w:tcBorders>
              <w:top w:val="nil"/>
              <w:left w:val="nil"/>
              <w:bottom w:val="single" w:sz="4" w:space="0" w:color="000000"/>
              <w:right w:val="single" w:sz="4" w:space="0" w:color="000000"/>
            </w:tcBorders>
            <w:shd w:val="clear" w:color="FFFFFF" w:fill="FFFFFF"/>
            <w:noWrap/>
            <w:vAlign w:val="bottom"/>
            <w:hideMark/>
          </w:tcPr>
          <w:p w14:paraId="0646C62D" w14:textId="77777777" w:rsidR="006D4CF0" w:rsidRPr="00DE68A1" w:rsidRDefault="006D4CF0" w:rsidP="006D4CF0">
            <w:pPr>
              <w:bidi w:val="0"/>
              <w:rPr>
                <w:rFonts w:asciiTheme="minorHAnsi" w:hAnsiTheme="minorHAnsi" w:cstheme="minorHAnsi"/>
                <w:color w:val="333333"/>
                <w:sz w:val="16"/>
                <w:szCs w:val="16"/>
              </w:rPr>
            </w:pPr>
            <w:r w:rsidRPr="00DE68A1">
              <w:rPr>
                <w:rFonts w:asciiTheme="minorHAnsi" w:hAnsiTheme="minorHAnsi" w:cstheme="minorHAnsi"/>
                <w:color w:val="333333"/>
                <w:sz w:val="16"/>
                <w:szCs w:val="16"/>
              </w:rPr>
              <w:t>LIQUIDITY COVERAGE RATIO</w:t>
            </w:r>
          </w:p>
        </w:tc>
        <w:tc>
          <w:tcPr>
            <w:tcW w:w="1830" w:type="dxa"/>
            <w:tcBorders>
              <w:top w:val="nil"/>
              <w:left w:val="nil"/>
              <w:bottom w:val="single" w:sz="4" w:space="0" w:color="000000"/>
              <w:right w:val="single" w:sz="4" w:space="0" w:color="000000"/>
            </w:tcBorders>
            <w:shd w:val="clear" w:color="FFFFFF" w:fill="000000"/>
            <w:noWrap/>
            <w:vAlign w:val="center"/>
            <w:hideMark/>
          </w:tcPr>
          <w:p w14:paraId="642D6EF5" w14:textId="06E6DFF5" w:rsidR="006D4CF0" w:rsidRPr="00DE68A1" w:rsidRDefault="006D4CF0" w:rsidP="000C403F">
            <w:pPr>
              <w:bidi w:val="0"/>
              <w:jc w:val="center"/>
              <w:rPr>
                <w:rFonts w:asciiTheme="minorHAnsi" w:hAnsiTheme="minorHAnsi" w:cstheme="minorHAnsi"/>
                <w:color w:val="000000"/>
                <w:sz w:val="18"/>
                <w:szCs w:val="18"/>
              </w:rPr>
            </w:pPr>
          </w:p>
        </w:tc>
        <w:tc>
          <w:tcPr>
            <w:tcW w:w="1957" w:type="dxa"/>
            <w:tcBorders>
              <w:top w:val="nil"/>
              <w:left w:val="nil"/>
              <w:bottom w:val="single" w:sz="4" w:space="0" w:color="000000"/>
              <w:right w:val="single" w:sz="4" w:space="0" w:color="000000"/>
            </w:tcBorders>
            <w:shd w:val="clear" w:color="FFFFFF" w:fill="FFFFFF"/>
            <w:noWrap/>
            <w:vAlign w:val="center"/>
          </w:tcPr>
          <w:p w14:paraId="3E069933" w14:textId="5D057FF9" w:rsidR="006D4CF0" w:rsidRPr="00DE68A1" w:rsidRDefault="006D4CF0" w:rsidP="000C403F">
            <w:pPr>
              <w:bidi w:val="0"/>
              <w:jc w:val="center"/>
              <w:rPr>
                <w:rFonts w:asciiTheme="minorHAnsi" w:hAnsiTheme="minorHAnsi" w:cstheme="minorHAnsi"/>
                <w:color w:val="333333"/>
                <w:sz w:val="18"/>
                <w:szCs w:val="18"/>
              </w:rPr>
            </w:pPr>
            <w:r w:rsidRPr="00DE68A1">
              <w:rPr>
                <w:rFonts w:ascii="Arial" w:hAnsi="Arial" w:cs="Arial"/>
                <w:color w:val="333333"/>
                <w:sz w:val="18"/>
                <w:szCs w:val="18"/>
              </w:rPr>
              <w:t>1,276.19%</w:t>
            </w:r>
          </w:p>
        </w:tc>
      </w:tr>
    </w:tbl>
    <w:p w14:paraId="77EB81C4" w14:textId="77777777" w:rsidR="00FC0E27" w:rsidRPr="00DE68A1" w:rsidRDefault="00FC0E27" w:rsidP="00FC0E27">
      <w:pPr>
        <w:bidi w:val="0"/>
        <w:rPr>
          <w:rFonts w:eastAsia="Calibri"/>
          <w:b/>
        </w:rPr>
      </w:pPr>
    </w:p>
    <w:p w14:paraId="09B49667" w14:textId="77777777" w:rsidR="00FC0E27" w:rsidRPr="00DE68A1" w:rsidRDefault="00FC0E27" w:rsidP="00FC0E27">
      <w:pPr>
        <w:bidi w:val="0"/>
        <w:rPr>
          <w:rFonts w:eastAsia="Calibri"/>
          <w:b/>
        </w:rPr>
      </w:pPr>
    </w:p>
    <w:p w14:paraId="6EB6F086" w14:textId="1B1D21F8" w:rsidR="00357962" w:rsidRPr="00DE68A1" w:rsidRDefault="00357962" w:rsidP="00FC0E27">
      <w:pPr>
        <w:bidi w:val="0"/>
        <w:rPr>
          <w:rFonts w:eastAsia="Calibri"/>
        </w:rPr>
      </w:pPr>
      <w:r w:rsidRPr="00DE68A1">
        <w:rPr>
          <w:rFonts w:eastAsia="Calibri"/>
          <w:b/>
        </w:rPr>
        <w:t>Disclosure on Net Stable Funding Ratio (NSFR):</w:t>
      </w:r>
      <w:r w:rsidRPr="00DE68A1">
        <w:rPr>
          <w:rFonts w:eastAsia="Calibri"/>
        </w:rPr>
        <w:t xml:space="preserve"> Based on the guidelines received from Central Bank of Kuwait, on Net Stable Funding Ratio, the disclosure details are as under:</w:t>
      </w:r>
    </w:p>
    <w:p w14:paraId="7AE64487" w14:textId="77777777" w:rsidR="007D5D50" w:rsidRPr="00DE68A1" w:rsidRDefault="007D5D50" w:rsidP="007D5D50">
      <w:pPr>
        <w:bidi w:val="0"/>
        <w:rPr>
          <w:rFonts w:eastAsia="Calibri"/>
        </w:rPr>
      </w:pPr>
    </w:p>
    <w:tbl>
      <w:tblPr>
        <w:tblW w:w="9150" w:type="dxa"/>
        <w:tblLook w:val="04A0" w:firstRow="1" w:lastRow="0" w:firstColumn="1" w:lastColumn="0" w:noHBand="0" w:noVBand="1"/>
      </w:tblPr>
      <w:tblGrid>
        <w:gridCol w:w="400"/>
        <w:gridCol w:w="3418"/>
        <w:gridCol w:w="992"/>
        <w:gridCol w:w="1134"/>
        <w:gridCol w:w="1134"/>
        <w:gridCol w:w="992"/>
        <w:gridCol w:w="1080"/>
      </w:tblGrid>
      <w:tr w:rsidR="007D5D50" w:rsidRPr="00DE68A1" w14:paraId="2447F14B" w14:textId="77777777" w:rsidTr="00D22150">
        <w:trPr>
          <w:trHeight w:val="616"/>
        </w:trPr>
        <w:tc>
          <w:tcPr>
            <w:tcW w:w="9150" w:type="dxa"/>
            <w:gridSpan w:val="7"/>
            <w:tcBorders>
              <w:top w:val="single" w:sz="8" w:space="0" w:color="auto"/>
              <w:left w:val="single" w:sz="8" w:space="0" w:color="auto"/>
              <w:bottom w:val="single" w:sz="4" w:space="0" w:color="auto"/>
              <w:right w:val="single" w:sz="8" w:space="0" w:color="000000"/>
            </w:tcBorders>
            <w:shd w:val="clear" w:color="000000" w:fill="002060"/>
            <w:vAlign w:val="bottom"/>
            <w:hideMark/>
          </w:tcPr>
          <w:p w14:paraId="3D814BDB" w14:textId="757D0D2D" w:rsidR="007D5D50" w:rsidRPr="00DE68A1" w:rsidRDefault="007D5D50" w:rsidP="007D5D50">
            <w:pPr>
              <w:bidi w:val="0"/>
              <w:jc w:val="center"/>
              <w:rPr>
                <w:rFonts w:asciiTheme="minorHAnsi" w:hAnsiTheme="minorHAnsi" w:cstheme="minorHAnsi"/>
                <w:b/>
                <w:bCs/>
                <w:color w:val="FFFFFF"/>
                <w:sz w:val="18"/>
                <w:szCs w:val="18"/>
              </w:rPr>
            </w:pPr>
            <w:r w:rsidRPr="00DE68A1">
              <w:rPr>
                <w:rFonts w:asciiTheme="minorHAnsi" w:hAnsiTheme="minorHAnsi" w:cstheme="minorHAnsi"/>
                <w:b/>
                <w:bCs/>
                <w:color w:val="FFFFFF"/>
                <w:sz w:val="18"/>
                <w:szCs w:val="18"/>
              </w:rPr>
              <w:t>Table 4: NSFR Common Disclosure Template for the period ending on: 31.12.</w:t>
            </w:r>
            <w:r w:rsidR="00DE68A1">
              <w:rPr>
                <w:rFonts w:asciiTheme="minorHAnsi" w:hAnsiTheme="minorHAnsi" w:cstheme="minorHAnsi"/>
                <w:b/>
                <w:bCs/>
                <w:color w:val="FFFFFF"/>
                <w:sz w:val="18"/>
                <w:szCs w:val="18"/>
              </w:rPr>
              <w:t>2025</w:t>
            </w:r>
            <w:r w:rsidRPr="00DE68A1">
              <w:rPr>
                <w:rFonts w:asciiTheme="minorHAnsi" w:hAnsiTheme="minorHAnsi" w:cstheme="minorHAnsi"/>
                <w:b/>
                <w:bCs/>
                <w:color w:val="FFFFFF"/>
                <w:sz w:val="18"/>
                <w:szCs w:val="18"/>
              </w:rPr>
              <w:t xml:space="preserve"> (All values in KD '000)</w:t>
            </w:r>
          </w:p>
        </w:tc>
      </w:tr>
      <w:tr w:rsidR="007D5D50" w:rsidRPr="00DE68A1" w14:paraId="64335252" w14:textId="77777777" w:rsidTr="000C403F">
        <w:trPr>
          <w:trHeight w:val="312"/>
        </w:trPr>
        <w:tc>
          <w:tcPr>
            <w:tcW w:w="3818" w:type="dxa"/>
            <w:gridSpan w:val="2"/>
            <w:tcBorders>
              <w:top w:val="single" w:sz="4" w:space="0" w:color="auto"/>
              <w:left w:val="single" w:sz="8" w:space="0" w:color="auto"/>
              <w:bottom w:val="single" w:sz="4" w:space="0" w:color="auto"/>
              <w:right w:val="single" w:sz="4" w:space="0" w:color="auto"/>
            </w:tcBorders>
            <w:shd w:val="clear" w:color="000000" w:fill="C4BD97"/>
            <w:noWrap/>
            <w:vAlign w:val="bottom"/>
            <w:hideMark/>
          </w:tcPr>
          <w:p w14:paraId="770090D3" w14:textId="77777777" w:rsidR="007D5D50" w:rsidRPr="00DE68A1" w:rsidRDefault="007D5D50" w:rsidP="007D5D50">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5332" w:type="dxa"/>
            <w:gridSpan w:val="5"/>
            <w:tcBorders>
              <w:top w:val="single" w:sz="4" w:space="0" w:color="auto"/>
              <w:left w:val="nil"/>
              <w:bottom w:val="single" w:sz="4" w:space="0" w:color="auto"/>
              <w:right w:val="single" w:sz="8" w:space="0" w:color="000000"/>
            </w:tcBorders>
            <w:shd w:val="clear" w:color="000000" w:fill="C4BD97"/>
            <w:noWrap/>
            <w:vAlign w:val="center"/>
            <w:hideMark/>
          </w:tcPr>
          <w:p w14:paraId="6BC0F2E6" w14:textId="77777777" w:rsidR="007D5D50" w:rsidRPr="00DE68A1" w:rsidRDefault="007D5D50" w:rsidP="007D5D50">
            <w:pPr>
              <w:bidi w:val="0"/>
              <w:jc w:val="center"/>
              <w:rPr>
                <w:rFonts w:asciiTheme="minorHAnsi" w:hAnsiTheme="minorHAnsi" w:cstheme="minorHAnsi"/>
                <w:b/>
                <w:bCs/>
                <w:color w:val="C00000"/>
                <w:sz w:val="18"/>
                <w:szCs w:val="18"/>
              </w:rPr>
            </w:pPr>
            <w:r w:rsidRPr="00DE68A1">
              <w:rPr>
                <w:rFonts w:asciiTheme="minorHAnsi" w:hAnsiTheme="minorHAnsi" w:cstheme="minorHAnsi"/>
                <w:b/>
                <w:bCs/>
                <w:color w:val="C00000"/>
                <w:sz w:val="18"/>
                <w:szCs w:val="18"/>
              </w:rPr>
              <w:t>Unweighted Values (before applying relevant factors)</w:t>
            </w:r>
          </w:p>
        </w:tc>
      </w:tr>
      <w:tr w:rsidR="007D5D50" w:rsidRPr="00DE68A1" w14:paraId="64873730" w14:textId="77777777" w:rsidTr="001B4EC2">
        <w:trPr>
          <w:trHeight w:val="871"/>
        </w:trPr>
        <w:tc>
          <w:tcPr>
            <w:tcW w:w="400" w:type="dxa"/>
            <w:tcBorders>
              <w:top w:val="nil"/>
              <w:left w:val="single" w:sz="8" w:space="0" w:color="auto"/>
              <w:bottom w:val="single" w:sz="4" w:space="0" w:color="auto"/>
              <w:right w:val="single" w:sz="4" w:space="0" w:color="auto"/>
            </w:tcBorders>
            <w:shd w:val="clear" w:color="000000" w:fill="C4BD97"/>
            <w:noWrap/>
            <w:vAlign w:val="center"/>
            <w:hideMark/>
          </w:tcPr>
          <w:p w14:paraId="1FE9FBDE" w14:textId="77777777" w:rsidR="007D5D50" w:rsidRPr="00DE68A1" w:rsidRDefault="007D5D50" w:rsidP="007D5D50">
            <w:pPr>
              <w:bidi w:val="0"/>
              <w:jc w:val="center"/>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 xml:space="preserve">Sr </w:t>
            </w:r>
          </w:p>
        </w:tc>
        <w:tc>
          <w:tcPr>
            <w:tcW w:w="3418" w:type="dxa"/>
            <w:tcBorders>
              <w:top w:val="nil"/>
              <w:left w:val="nil"/>
              <w:bottom w:val="single" w:sz="4" w:space="0" w:color="auto"/>
              <w:right w:val="single" w:sz="4" w:space="0" w:color="auto"/>
            </w:tcBorders>
            <w:shd w:val="clear" w:color="000000" w:fill="C4BD97"/>
            <w:noWrap/>
            <w:vAlign w:val="center"/>
            <w:hideMark/>
          </w:tcPr>
          <w:p w14:paraId="6E703296" w14:textId="77777777" w:rsidR="007D5D50" w:rsidRPr="00DE68A1" w:rsidRDefault="007D5D50" w:rsidP="007D5D50">
            <w:pPr>
              <w:bidi w:val="0"/>
              <w:jc w:val="center"/>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Item</w:t>
            </w:r>
          </w:p>
        </w:tc>
        <w:tc>
          <w:tcPr>
            <w:tcW w:w="992" w:type="dxa"/>
            <w:tcBorders>
              <w:top w:val="nil"/>
              <w:left w:val="nil"/>
              <w:bottom w:val="single" w:sz="4" w:space="0" w:color="auto"/>
              <w:right w:val="single" w:sz="4" w:space="0" w:color="auto"/>
            </w:tcBorders>
            <w:shd w:val="clear" w:color="000000" w:fill="C4BD97"/>
            <w:vAlign w:val="center"/>
            <w:hideMark/>
          </w:tcPr>
          <w:p w14:paraId="61519482" w14:textId="77777777" w:rsidR="007D5D50" w:rsidRPr="00DE68A1" w:rsidRDefault="007D5D50" w:rsidP="007D5D50">
            <w:pPr>
              <w:bidi w:val="0"/>
              <w:jc w:val="center"/>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No specified maturity</w:t>
            </w:r>
          </w:p>
        </w:tc>
        <w:tc>
          <w:tcPr>
            <w:tcW w:w="1134" w:type="dxa"/>
            <w:tcBorders>
              <w:top w:val="nil"/>
              <w:left w:val="nil"/>
              <w:bottom w:val="single" w:sz="4" w:space="0" w:color="auto"/>
              <w:right w:val="single" w:sz="4" w:space="0" w:color="auto"/>
            </w:tcBorders>
            <w:shd w:val="clear" w:color="000000" w:fill="C4BD97"/>
            <w:vAlign w:val="center"/>
            <w:hideMark/>
          </w:tcPr>
          <w:p w14:paraId="11BB2E59" w14:textId="77777777" w:rsidR="007D5D50" w:rsidRPr="00DE68A1" w:rsidRDefault="007D5D50" w:rsidP="007D5D50">
            <w:pPr>
              <w:bidi w:val="0"/>
              <w:jc w:val="center"/>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Less than 6 Months</w:t>
            </w:r>
          </w:p>
        </w:tc>
        <w:tc>
          <w:tcPr>
            <w:tcW w:w="1134" w:type="dxa"/>
            <w:tcBorders>
              <w:top w:val="nil"/>
              <w:left w:val="nil"/>
              <w:bottom w:val="single" w:sz="4" w:space="0" w:color="auto"/>
              <w:right w:val="single" w:sz="4" w:space="0" w:color="auto"/>
            </w:tcBorders>
            <w:shd w:val="clear" w:color="000000" w:fill="C4BD97"/>
            <w:vAlign w:val="center"/>
            <w:hideMark/>
          </w:tcPr>
          <w:p w14:paraId="54EDCE1E" w14:textId="77777777" w:rsidR="007D5D50" w:rsidRPr="00DE68A1" w:rsidRDefault="007D5D50" w:rsidP="007D5D50">
            <w:pPr>
              <w:bidi w:val="0"/>
              <w:jc w:val="center"/>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More than 6 months &amp; less than 1 year</w:t>
            </w:r>
          </w:p>
        </w:tc>
        <w:tc>
          <w:tcPr>
            <w:tcW w:w="992" w:type="dxa"/>
            <w:tcBorders>
              <w:top w:val="nil"/>
              <w:left w:val="nil"/>
              <w:bottom w:val="single" w:sz="4" w:space="0" w:color="auto"/>
              <w:right w:val="single" w:sz="4" w:space="0" w:color="auto"/>
            </w:tcBorders>
            <w:shd w:val="clear" w:color="000000" w:fill="C4BD97"/>
            <w:vAlign w:val="center"/>
            <w:hideMark/>
          </w:tcPr>
          <w:p w14:paraId="4209412C" w14:textId="77777777" w:rsidR="007D5D50" w:rsidRPr="00DE68A1" w:rsidRDefault="007D5D50" w:rsidP="007D5D50">
            <w:pPr>
              <w:bidi w:val="0"/>
              <w:jc w:val="center"/>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Over 1 Year</w:t>
            </w:r>
          </w:p>
        </w:tc>
        <w:tc>
          <w:tcPr>
            <w:tcW w:w="1080" w:type="dxa"/>
            <w:tcBorders>
              <w:top w:val="nil"/>
              <w:left w:val="nil"/>
              <w:bottom w:val="single" w:sz="4" w:space="0" w:color="auto"/>
              <w:right w:val="single" w:sz="8" w:space="0" w:color="auto"/>
            </w:tcBorders>
            <w:shd w:val="clear" w:color="000000" w:fill="C4BD97"/>
            <w:vAlign w:val="center"/>
            <w:hideMark/>
          </w:tcPr>
          <w:p w14:paraId="7815FA84" w14:textId="77777777" w:rsidR="007D5D50" w:rsidRPr="00DE68A1" w:rsidRDefault="007D5D50" w:rsidP="007D5D50">
            <w:pPr>
              <w:bidi w:val="0"/>
              <w:jc w:val="center"/>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Total weighted value</w:t>
            </w:r>
          </w:p>
        </w:tc>
      </w:tr>
      <w:tr w:rsidR="007D5D50" w:rsidRPr="00DE68A1" w14:paraId="085356B9" w14:textId="77777777" w:rsidTr="00D22150">
        <w:trPr>
          <w:trHeight w:val="253"/>
        </w:trPr>
        <w:tc>
          <w:tcPr>
            <w:tcW w:w="9150" w:type="dxa"/>
            <w:gridSpan w:val="7"/>
            <w:tcBorders>
              <w:top w:val="single" w:sz="4" w:space="0" w:color="auto"/>
              <w:left w:val="single" w:sz="8" w:space="0" w:color="auto"/>
              <w:bottom w:val="single" w:sz="8" w:space="0" w:color="auto"/>
              <w:right w:val="single" w:sz="8" w:space="0" w:color="000000"/>
            </w:tcBorders>
            <w:shd w:val="clear" w:color="000000" w:fill="C4BD97"/>
            <w:noWrap/>
            <w:vAlign w:val="bottom"/>
            <w:hideMark/>
          </w:tcPr>
          <w:p w14:paraId="59FADF3F" w14:textId="77777777" w:rsidR="007D5D50" w:rsidRPr="00DE68A1" w:rsidRDefault="007D5D50" w:rsidP="007D5D50">
            <w:pPr>
              <w:bidi w:val="0"/>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Available Stable Funding (ASF):</w:t>
            </w:r>
          </w:p>
        </w:tc>
      </w:tr>
      <w:tr w:rsidR="007D5D50" w:rsidRPr="00DE68A1" w14:paraId="10419C38" w14:textId="77777777" w:rsidTr="000C403F">
        <w:trPr>
          <w:trHeight w:val="239"/>
        </w:trPr>
        <w:tc>
          <w:tcPr>
            <w:tcW w:w="400" w:type="dxa"/>
            <w:tcBorders>
              <w:top w:val="nil"/>
              <w:left w:val="single" w:sz="8" w:space="0" w:color="auto"/>
              <w:bottom w:val="single" w:sz="4" w:space="0" w:color="auto"/>
              <w:right w:val="single" w:sz="4" w:space="0" w:color="auto"/>
            </w:tcBorders>
            <w:noWrap/>
            <w:vAlign w:val="bottom"/>
            <w:hideMark/>
          </w:tcPr>
          <w:p w14:paraId="00329ABA" w14:textId="77777777" w:rsidR="007D5D50" w:rsidRPr="00DE68A1" w:rsidRDefault="007D5D50" w:rsidP="007D5D50">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1</w:t>
            </w:r>
          </w:p>
        </w:tc>
        <w:tc>
          <w:tcPr>
            <w:tcW w:w="3418" w:type="dxa"/>
            <w:tcBorders>
              <w:top w:val="nil"/>
              <w:left w:val="nil"/>
              <w:bottom w:val="single" w:sz="4" w:space="0" w:color="auto"/>
              <w:right w:val="single" w:sz="4" w:space="0" w:color="auto"/>
            </w:tcBorders>
            <w:noWrap/>
            <w:vAlign w:val="bottom"/>
            <w:hideMark/>
          </w:tcPr>
          <w:p w14:paraId="306688CB" w14:textId="77777777" w:rsidR="007D5D50" w:rsidRPr="00DE68A1" w:rsidRDefault="007D5D50" w:rsidP="007D5D50">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Capital: </w:t>
            </w:r>
          </w:p>
        </w:tc>
        <w:tc>
          <w:tcPr>
            <w:tcW w:w="5332" w:type="dxa"/>
            <w:gridSpan w:val="5"/>
            <w:tcBorders>
              <w:top w:val="single" w:sz="8" w:space="0" w:color="auto"/>
              <w:left w:val="nil"/>
              <w:bottom w:val="single" w:sz="4" w:space="0" w:color="auto"/>
              <w:right w:val="single" w:sz="8" w:space="0" w:color="000000"/>
            </w:tcBorders>
            <w:noWrap/>
            <w:vAlign w:val="center"/>
            <w:hideMark/>
          </w:tcPr>
          <w:p w14:paraId="689AA890" w14:textId="77777777" w:rsidR="007D5D50" w:rsidRPr="00DE68A1" w:rsidRDefault="007D5D50" w:rsidP="007D5D50">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r>
      <w:tr w:rsidR="00724E07" w:rsidRPr="00DE68A1" w14:paraId="07CDFC41" w14:textId="77777777" w:rsidTr="000C403F">
        <w:trPr>
          <w:trHeight w:val="239"/>
        </w:trPr>
        <w:tc>
          <w:tcPr>
            <w:tcW w:w="400" w:type="dxa"/>
            <w:tcBorders>
              <w:top w:val="nil"/>
              <w:left w:val="single" w:sz="8" w:space="0" w:color="auto"/>
              <w:bottom w:val="single" w:sz="4" w:space="0" w:color="auto"/>
              <w:right w:val="single" w:sz="4" w:space="0" w:color="auto"/>
            </w:tcBorders>
            <w:noWrap/>
            <w:vAlign w:val="bottom"/>
            <w:hideMark/>
          </w:tcPr>
          <w:p w14:paraId="4012C625" w14:textId="77777777" w:rsidR="00724E07" w:rsidRPr="00DE68A1" w:rsidRDefault="00724E07" w:rsidP="00724E0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2</w:t>
            </w:r>
          </w:p>
        </w:tc>
        <w:tc>
          <w:tcPr>
            <w:tcW w:w="3418" w:type="dxa"/>
            <w:tcBorders>
              <w:top w:val="nil"/>
              <w:left w:val="nil"/>
              <w:bottom w:val="single" w:sz="4" w:space="0" w:color="auto"/>
              <w:right w:val="single" w:sz="4" w:space="0" w:color="auto"/>
            </w:tcBorders>
            <w:noWrap/>
            <w:vAlign w:val="bottom"/>
            <w:hideMark/>
          </w:tcPr>
          <w:p w14:paraId="2B483CF4" w14:textId="77777777" w:rsidR="00724E07" w:rsidRPr="00DE68A1" w:rsidRDefault="00724E07" w:rsidP="00724E0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Regulatory Capital </w:t>
            </w:r>
          </w:p>
        </w:tc>
        <w:tc>
          <w:tcPr>
            <w:tcW w:w="992" w:type="dxa"/>
            <w:tcBorders>
              <w:top w:val="single" w:sz="4" w:space="0" w:color="808080"/>
              <w:left w:val="single" w:sz="4" w:space="0" w:color="808080"/>
              <w:bottom w:val="single" w:sz="4" w:space="0" w:color="808080"/>
              <w:right w:val="single" w:sz="4" w:space="0" w:color="808080"/>
            </w:tcBorders>
            <w:shd w:val="clear" w:color="FFFFFF" w:fill="FFFFFF"/>
            <w:noWrap/>
            <w:vAlign w:val="center"/>
            <w:hideMark/>
          </w:tcPr>
          <w:p w14:paraId="0D57295F" w14:textId="5D5FB4D2" w:rsidR="00724E07" w:rsidRPr="00D53E14" w:rsidRDefault="00D22150" w:rsidP="00D53E14">
            <w:pPr>
              <w:bidi w:val="0"/>
              <w:jc w:val="center"/>
              <w:rPr>
                <w:rFonts w:ascii="Arial" w:hAnsi="Arial" w:cs="Arial"/>
                <w:color w:val="333333"/>
                <w:sz w:val="18"/>
                <w:szCs w:val="18"/>
              </w:rPr>
            </w:pPr>
            <w:r w:rsidRPr="00DE68A1">
              <w:rPr>
                <w:rFonts w:ascii="Arial" w:hAnsi="Arial" w:cs="Arial"/>
                <w:color w:val="333333"/>
                <w:sz w:val="18"/>
                <w:szCs w:val="18"/>
              </w:rPr>
              <w:t>363,412</w:t>
            </w:r>
          </w:p>
        </w:tc>
        <w:tc>
          <w:tcPr>
            <w:tcW w:w="1134" w:type="dxa"/>
            <w:tcBorders>
              <w:top w:val="nil"/>
              <w:left w:val="single" w:sz="4" w:space="0" w:color="auto"/>
              <w:bottom w:val="single" w:sz="4" w:space="0" w:color="auto"/>
              <w:right w:val="single" w:sz="4" w:space="0" w:color="auto"/>
            </w:tcBorders>
            <w:noWrap/>
            <w:vAlign w:val="center"/>
            <w:hideMark/>
          </w:tcPr>
          <w:p w14:paraId="63DAD4FC" w14:textId="31C71241" w:rsidR="00724E07" w:rsidRPr="00DE68A1" w:rsidRDefault="00724E07"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5D29BF95" w14:textId="477C9A83" w:rsidR="00724E07" w:rsidRPr="00DE68A1" w:rsidRDefault="00724E07"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992" w:type="dxa"/>
            <w:tcBorders>
              <w:top w:val="nil"/>
              <w:left w:val="nil"/>
              <w:bottom w:val="single" w:sz="4" w:space="0" w:color="auto"/>
              <w:right w:val="single" w:sz="4" w:space="0" w:color="auto"/>
            </w:tcBorders>
            <w:noWrap/>
            <w:vAlign w:val="center"/>
            <w:hideMark/>
          </w:tcPr>
          <w:p w14:paraId="25A79085" w14:textId="4CF503A8" w:rsidR="00724E07" w:rsidRPr="00DE68A1" w:rsidRDefault="00724E07"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080" w:type="dxa"/>
            <w:tcBorders>
              <w:top w:val="nil"/>
              <w:left w:val="nil"/>
              <w:bottom w:val="single" w:sz="4" w:space="0" w:color="auto"/>
              <w:right w:val="single" w:sz="8" w:space="0" w:color="auto"/>
            </w:tcBorders>
            <w:noWrap/>
            <w:vAlign w:val="center"/>
            <w:hideMark/>
          </w:tcPr>
          <w:p w14:paraId="28600C8B" w14:textId="116EA940" w:rsidR="00724E07" w:rsidRPr="00D53E14" w:rsidRDefault="00D22150" w:rsidP="00D53E14">
            <w:pPr>
              <w:bidi w:val="0"/>
              <w:jc w:val="center"/>
              <w:rPr>
                <w:rFonts w:ascii="Arial" w:hAnsi="Arial" w:cs="Arial"/>
                <w:color w:val="000000"/>
                <w:sz w:val="18"/>
                <w:szCs w:val="18"/>
              </w:rPr>
            </w:pPr>
            <w:r w:rsidRPr="00DE68A1">
              <w:rPr>
                <w:rFonts w:ascii="Arial" w:hAnsi="Arial" w:cs="Arial"/>
                <w:color w:val="000000"/>
                <w:sz w:val="18"/>
                <w:szCs w:val="18"/>
              </w:rPr>
              <w:t>363,412</w:t>
            </w:r>
          </w:p>
        </w:tc>
      </w:tr>
      <w:tr w:rsidR="00724E07" w:rsidRPr="00DE68A1" w14:paraId="4D051285" w14:textId="77777777" w:rsidTr="000C403F">
        <w:trPr>
          <w:trHeight w:val="238"/>
        </w:trPr>
        <w:tc>
          <w:tcPr>
            <w:tcW w:w="400" w:type="dxa"/>
            <w:tcBorders>
              <w:top w:val="nil"/>
              <w:left w:val="single" w:sz="8" w:space="0" w:color="auto"/>
              <w:bottom w:val="single" w:sz="4" w:space="0" w:color="auto"/>
              <w:right w:val="single" w:sz="4" w:space="0" w:color="auto"/>
            </w:tcBorders>
            <w:noWrap/>
            <w:vAlign w:val="bottom"/>
            <w:hideMark/>
          </w:tcPr>
          <w:p w14:paraId="0452EF3B" w14:textId="77777777" w:rsidR="00724E07" w:rsidRPr="00DE68A1" w:rsidRDefault="00724E07" w:rsidP="00724E0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3</w:t>
            </w:r>
          </w:p>
        </w:tc>
        <w:tc>
          <w:tcPr>
            <w:tcW w:w="3418" w:type="dxa"/>
            <w:tcBorders>
              <w:top w:val="nil"/>
              <w:left w:val="nil"/>
              <w:bottom w:val="single" w:sz="4" w:space="0" w:color="auto"/>
              <w:right w:val="single" w:sz="4" w:space="0" w:color="auto"/>
            </w:tcBorders>
            <w:noWrap/>
            <w:vAlign w:val="bottom"/>
            <w:hideMark/>
          </w:tcPr>
          <w:p w14:paraId="7CB064F3" w14:textId="77777777" w:rsidR="00724E07" w:rsidRPr="00DE68A1" w:rsidRDefault="00724E07" w:rsidP="00724E0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Other Capital Instruments </w:t>
            </w:r>
          </w:p>
        </w:tc>
        <w:tc>
          <w:tcPr>
            <w:tcW w:w="992" w:type="dxa"/>
            <w:tcBorders>
              <w:top w:val="single" w:sz="4" w:space="0" w:color="auto"/>
              <w:left w:val="nil"/>
              <w:bottom w:val="single" w:sz="4" w:space="0" w:color="auto"/>
              <w:right w:val="single" w:sz="4" w:space="0" w:color="auto"/>
            </w:tcBorders>
            <w:noWrap/>
            <w:vAlign w:val="center"/>
            <w:hideMark/>
          </w:tcPr>
          <w:p w14:paraId="161DB92A" w14:textId="193D4680"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0D552F8A" w14:textId="798994E5"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180D8C37" w14:textId="69CA15D2"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992" w:type="dxa"/>
            <w:tcBorders>
              <w:top w:val="nil"/>
              <w:left w:val="nil"/>
              <w:bottom w:val="single" w:sz="4" w:space="0" w:color="auto"/>
              <w:right w:val="single" w:sz="4" w:space="0" w:color="auto"/>
            </w:tcBorders>
            <w:noWrap/>
            <w:vAlign w:val="center"/>
            <w:hideMark/>
          </w:tcPr>
          <w:p w14:paraId="5AC8CD9B" w14:textId="7FFAEBAD"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080" w:type="dxa"/>
            <w:tcBorders>
              <w:top w:val="nil"/>
              <w:left w:val="nil"/>
              <w:bottom w:val="single" w:sz="4" w:space="0" w:color="auto"/>
              <w:right w:val="single" w:sz="8" w:space="0" w:color="auto"/>
            </w:tcBorders>
            <w:noWrap/>
            <w:vAlign w:val="center"/>
            <w:hideMark/>
          </w:tcPr>
          <w:p w14:paraId="648492EA" w14:textId="4E0255FE"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r>
      <w:tr w:rsidR="007D5D50" w:rsidRPr="00DE68A1" w14:paraId="2050A8FC" w14:textId="77777777" w:rsidTr="000C403F">
        <w:trPr>
          <w:trHeight w:val="238"/>
        </w:trPr>
        <w:tc>
          <w:tcPr>
            <w:tcW w:w="400" w:type="dxa"/>
            <w:tcBorders>
              <w:top w:val="nil"/>
              <w:left w:val="single" w:sz="8" w:space="0" w:color="auto"/>
              <w:bottom w:val="single" w:sz="4" w:space="0" w:color="auto"/>
              <w:right w:val="single" w:sz="4" w:space="0" w:color="auto"/>
            </w:tcBorders>
            <w:noWrap/>
            <w:vAlign w:val="bottom"/>
            <w:hideMark/>
          </w:tcPr>
          <w:p w14:paraId="56A4474A" w14:textId="77777777" w:rsidR="007D5D50" w:rsidRPr="00DE68A1" w:rsidRDefault="007D5D50" w:rsidP="007D5D50">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4</w:t>
            </w:r>
          </w:p>
        </w:tc>
        <w:tc>
          <w:tcPr>
            <w:tcW w:w="3418" w:type="dxa"/>
            <w:tcBorders>
              <w:top w:val="nil"/>
              <w:left w:val="nil"/>
              <w:bottom w:val="single" w:sz="4" w:space="0" w:color="auto"/>
              <w:right w:val="single" w:sz="4" w:space="0" w:color="auto"/>
            </w:tcBorders>
            <w:vAlign w:val="bottom"/>
            <w:hideMark/>
          </w:tcPr>
          <w:p w14:paraId="774FCCF4" w14:textId="0BF281B7" w:rsidR="007D5D50" w:rsidRPr="00DE68A1" w:rsidRDefault="007D5D50" w:rsidP="007D5D50">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Retail </w:t>
            </w:r>
            <w:r w:rsidR="001B4EC2" w:rsidRPr="00DE68A1">
              <w:rPr>
                <w:rFonts w:asciiTheme="minorHAnsi" w:hAnsiTheme="minorHAnsi" w:cstheme="minorHAnsi"/>
                <w:color w:val="000000"/>
                <w:sz w:val="18"/>
                <w:szCs w:val="18"/>
              </w:rPr>
              <w:t>Deposits</w:t>
            </w:r>
            <w:r w:rsidRPr="00DE68A1">
              <w:rPr>
                <w:rFonts w:asciiTheme="minorHAnsi" w:hAnsiTheme="minorHAnsi" w:cstheme="minorHAnsi"/>
                <w:color w:val="000000"/>
                <w:sz w:val="18"/>
                <w:szCs w:val="18"/>
              </w:rPr>
              <w:t xml:space="preserve"> and Deposits from small business </w:t>
            </w:r>
            <w:r w:rsidR="001B4EC2" w:rsidRPr="00DE68A1">
              <w:rPr>
                <w:rFonts w:asciiTheme="minorHAnsi" w:hAnsiTheme="minorHAnsi" w:cstheme="minorHAnsi"/>
                <w:color w:val="000000"/>
                <w:sz w:val="18"/>
                <w:szCs w:val="18"/>
              </w:rPr>
              <w:t>customers:</w:t>
            </w:r>
            <w:r w:rsidRPr="00DE68A1">
              <w:rPr>
                <w:rFonts w:asciiTheme="minorHAnsi" w:hAnsiTheme="minorHAnsi" w:cstheme="minorHAnsi"/>
                <w:color w:val="000000"/>
                <w:sz w:val="18"/>
                <w:szCs w:val="18"/>
              </w:rPr>
              <w:t xml:space="preserve"> </w:t>
            </w:r>
          </w:p>
        </w:tc>
        <w:tc>
          <w:tcPr>
            <w:tcW w:w="5332" w:type="dxa"/>
            <w:gridSpan w:val="5"/>
            <w:tcBorders>
              <w:top w:val="single" w:sz="4" w:space="0" w:color="auto"/>
              <w:left w:val="nil"/>
              <w:bottom w:val="single" w:sz="4" w:space="0" w:color="auto"/>
              <w:right w:val="single" w:sz="8" w:space="0" w:color="000000"/>
            </w:tcBorders>
            <w:noWrap/>
            <w:vAlign w:val="center"/>
            <w:hideMark/>
          </w:tcPr>
          <w:p w14:paraId="4B769C22" w14:textId="72FE0636" w:rsidR="007D5D50" w:rsidRPr="00DE68A1" w:rsidRDefault="007D5D50" w:rsidP="00724E07">
            <w:pPr>
              <w:bidi w:val="0"/>
              <w:jc w:val="center"/>
              <w:rPr>
                <w:rFonts w:asciiTheme="minorHAnsi" w:hAnsiTheme="minorHAnsi" w:cstheme="minorHAnsi"/>
                <w:color w:val="000000"/>
                <w:sz w:val="18"/>
                <w:szCs w:val="18"/>
              </w:rPr>
            </w:pPr>
          </w:p>
        </w:tc>
      </w:tr>
      <w:tr w:rsidR="00724E07" w:rsidRPr="00DE68A1" w14:paraId="6BCE2C54" w14:textId="77777777" w:rsidTr="000C403F">
        <w:trPr>
          <w:trHeight w:val="317"/>
        </w:trPr>
        <w:tc>
          <w:tcPr>
            <w:tcW w:w="400" w:type="dxa"/>
            <w:tcBorders>
              <w:top w:val="nil"/>
              <w:left w:val="single" w:sz="8" w:space="0" w:color="auto"/>
              <w:bottom w:val="single" w:sz="4" w:space="0" w:color="auto"/>
              <w:right w:val="single" w:sz="4" w:space="0" w:color="auto"/>
            </w:tcBorders>
            <w:noWrap/>
            <w:vAlign w:val="bottom"/>
            <w:hideMark/>
          </w:tcPr>
          <w:p w14:paraId="516F7CD9" w14:textId="77777777" w:rsidR="00724E07" w:rsidRPr="00DE68A1" w:rsidRDefault="00724E07" w:rsidP="00724E0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5</w:t>
            </w:r>
          </w:p>
        </w:tc>
        <w:tc>
          <w:tcPr>
            <w:tcW w:w="3418" w:type="dxa"/>
            <w:tcBorders>
              <w:top w:val="nil"/>
              <w:left w:val="nil"/>
              <w:bottom w:val="single" w:sz="4" w:space="0" w:color="auto"/>
              <w:right w:val="single" w:sz="4" w:space="0" w:color="auto"/>
            </w:tcBorders>
            <w:noWrap/>
            <w:vAlign w:val="bottom"/>
            <w:hideMark/>
          </w:tcPr>
          <w:p w14:paraId="3D157E9A" w14:textId="77777777" w:rsidR="00724E07" w:rsidRPr="00DE68A1" w:rsidRDefault="00724E07" w:rsidP="00724E0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Stable Deposits </w:t>
            </w:r>
          </w:p>
        </w:tc>
        <w:tc>
          <w:tcPr>
            <w:tcW w:w="992" w:type="dxa"/>
            <w:tcBorders>
              <w:top w:val="nil"/>
              <w:left w:val="nil"/>
              <w:bottom w:val="single" w:sz="4" w:space="0" w:color="auto"/>
              <w:right w:val="single" w:sz="4" w:space="0" w:color="auto"/>
            </w:tcBorders>
            <w:noWrap/>
            <w:vAlign w:val="center"/>
            <w:hideMark/>
          </w:tcPr>
          <w:p w14:paraId="7CA6B7C1" w14:textId="332B95C6"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22E450D7" w14:textId="4FB0386F"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2BFE06F9" w14:textId="49ED6985"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992" w:type="dxa"/>
            <w:tcBorders>
              <w:top w:val="nil"/>
              <w:left w:val="nil"/>
              <w:bottom w:val="single" w:sz="4" w:space="0" w:color="auto"/>
              <w:right w:val="single" w:sz="4" w:space="0" w:color="auto"/>
            </w:tcBorders>
            <w:noWrap/>
            <w:vAlign w:val="center"/>
            <w:hideMark/>
          </w:tcPr>
          <w:p w14:paraId="4B5E4125" w14:textId="7FB9E51E"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080" w:type="dxa"/>
            <w:tcBorders>
              <w:top w:val="nil"/>
              <w:left w:val="nil"/>
              <w:bottom w:val="single" w:sz="4" w:space="0" w:color="auto"/>
              <w:right w:val="single" w:sz="8" w:space="0" w:color="auto"/>
            </w:tcBorders>
            <w:noWrap/>
            <w:vAlign w:val="center"/>
            <w:hideMark/>
          </w:tcPr>
          <w:p w14:paraId="79F5F53D" w14:textId="6B6585F3"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r>
      <w:tr w:rsidR="00D53E14" w:rsidRPr="00DE68A1" w14:paraId="292E79C9" w14:textId="77777777" w:rsidTr="000C403F">
        <w:trPr>
          <w:trHeight w:val="406"/>
        </w:trPr>
        <w:tc>
          <w:tcPr>
            <w:tcW w:w="400" w:type="dxa"/>
            <w:tcBorders>
              <w:top w:val="nil"/>
              <w:left w:val="single" w:sz="8" w:space="0" w:color="auto"/>
              <w:bottom w:val="single" w:sz="4" w:space="0" w:color="auto"/>
              <w:right w:val="single" w:sz="4" w:space="0" w:color="auto"/>
            </w:tcBorders>
            <w:noWrap/>
            <w:vAlign w:val="bottom"/>
            <w:hideMark/>
          </w:tcPr>
          <w:p w14:paraId="5F87866E"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6</w:t>
            </w:r>
          </w:p>
        </w:tc>
        <w:tc>
          <w:tcPr>
            <w:tcW w:w="3418" w:type="dxa"/>
            <w:tcBorders>
              <w:top w:val="nil"/>
              <w:left w:val="nil"/>
              <w:bottom w:val="single" w:sz="4" w:space="0" w:color="auto"/>
              <w:right w:val="single" w:sz="4" w:space="0" w:color="auto"/>
            </w:tcBorders>
            <w:noWrap/>
            <w:vAlign w:val="bottom"/>
            <w:hideMark/>
          </w:tcPr>
          <w:p w14:paraId="6D3D03CC"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Less Stable Deposits </w:t>
            </w:r>
          </w:p>
        </w:tc>
        <w:tc>
          <w:tcPr>
            <w:tcW w:w="992" w:type="dxa"/>
            <w:tcBorders>
              <w:top w:val="single" w:sz="4" w:space="0" w:color="808080"/>
              <w:left w:val="single" w:sz="4" w:space="0" w:color="808080"/>
              <w:bottom w:val="single" w:sz="4" w:space="0" w:color="808080"/>
              <w:right w:val="single" w:sz="4" w:space="0" w:color="808080"/>
            </w:tcBorders>
            <w:shd w:val="clear" w:color="FFFFFF" w:fill="FFFFFF"/>
            <w:noWrap/>
            <w:vAlign w:val="center"/>
            <w:hideMark/>
          </w:tcPr>
          <w:p w14:paraId="58C7A125" w14:textId="3BA8BB73" w:rsidR="00D53E14" w:rsidRPr="00DE68A1" w:rsidRDefault="00D53E14" w:rsidP="00D53E14">
            <w:pPr>
              <w:bidi w:val="0"/>
              <w:jc w:val="center"/>
              <w:rPr>
                <w:rFonts w:asciiTheme="minorHAnsi" w:hAnsiTheme="minorHAnsi" w:cstheme="minorHAnsi"/>
                <w:color w:val="333333"/>
                <w:sz w:val="18"/>
                <w:szCs w:val="18"/>
              </w:rPr>
            </w:pPr>
            <w:r w:rsidRPr="00DE68A1">
              <w:rPr>
                <w:rFonts w:ascii="Arial" w:hAnsi="Arial" w:cs="Arial"/>
                <w:color w:val="333333"/>
                <w:sz w:val="18"/>
                <w:szCs w:val="18"/>
              </w:rPr>
              <w:t>7,226</w:t>
            </w:r>
          </w:p>
        </w:tc>
        <w:tc>
          <w:tcPr>
            <w:tcW w:w="1134" w:type="dxa"/>
            <w:tcBorders>
              <w:top w:val="single" w:sz="4" w:space="0" w:color="808080"/>
              <w:left w:val="nil"/>
              <w:bottom w:val="single" w:sz="4" w:space="0" w:color="808080"/>
              <w:right w:val="single" w:sz="4" w:space="0" w:color="808080"/>
            </w:tcBorders>
            <w:shd w:val="clear" w:color="FFFFFF" w:fill="FFFFFF"/>
            <w:noWrap/>
            <w:vAlign w:val="center"/>
            <w:hideMark/>
          </w:tcPr>
          <w:p w14:paraId="7D7DE1FA" w14:textId="532BF87A" w:rsidR="00D53E14" w:rsidRPr="00DE68A1" w:rsidRDefault="00D53E14" w:rsidP="00D53E14">
            <w:pPr>
              <w:bidi w:val="0"/>
              <w:jc w:val="center"/>
              <w:rPr>
                <w:rFonts w:asciiTheme="minorHAnsi" w:hAnsiTheme="minorHAnsi" w:cstheme="minorHAnsi"/>
                <w:color w:val="333333"/>
                <w:sz w:val="18"/>
                <w:szCs w:val="18"/>
              </w:rPr>
            </w:pPr>
            <w:r w:rsidRPr="00DE68A1">
              <w:rPr>
                <w:rFonts w:ascii="Arial" w:hAnsi="Arial" w:cs="Arial"/>
                <w:color w:val="333333"/>
                <w:sz w:val="18"/>
                <w:szCs w:val="18"/>
              </w:rPr>
              <w:t>721</w:t>
            </w:r>
          </w:p>
        </w:tc>
        <w:tc>
          <w:tcPr>
            <w:tcW w:w="1134" w:type="dxa"/>
            <w:tcBorders>
              <w:top w:val="single" w:sz="4" w:space="0" w:color="808080"/>
              <w:left w:val="nil"/>
              <w:bottom w:val="single" w:sz="4" w:space="0" w:color="808080"/>
              <w:right w:val="single" w:sz="4" w:space="0" w:color="808080"/>
            </w:tcBorders>
            <w:shd w:val="clear" w:color="FFFFFF" w:fill="FFFFFF"/>
            <w:noWrap/>
            <w:vAlign w:val="center"/>
            <w:hideMark/>
          </w:tcPr>
          <w:p w14:paraId="61533658" w14:textId="4F0239D9" w:rsidR="00D53E14" w:rsidRPr="00DE68A1" w:rsidRDefault="00D53E14" w:rsidP="00D53E14">
            <w:pPr>
              <w:bidi w:val="0"/>
              <w:jc w:val="center"/>
              <w:rPr>
                <w:rFonts w:asciiTheme="minorHAnsi" w:hAnsiTheme="minorHAnsi" w:cstheme="minorHAnsi"/>
                <w:color w:val="333333"/>
                <w:sz w:val="18"/>
                <w:szCs w:val="18"/>
              </w:rPr>
            </w:pPr>
            <w:r w:rsidRPr="00DE68A1">
              <w:rPr>
                <w:rFonts w:asciiTheme="minorHAnsi" w:hAnsiTheme="minorHAnsi" w:cstheme="minorHAnsi"/>
                <w:color w:val="000000"/>
                <w:sz w:val="18"/>
                <w:szCs w:val="18"/>
              </w:rPr>
              <w:t>-</w:t>
            </w:r>
          </w:p>
        </w:tc>
        <w:tc>
          <w:tcPr>
            <w:tcW w:w="992" w:type="dxa"/>
            <w:tcBorders>
              <w:top w:val="single" w:sz="4" w:space="0" w:color="808080"/>
              <w:left w:val="nil"/>
              <w:bottom w:val="single" w:sz="4" w:space="0" w:color="808080"/>
              <w:right w:val="single" w:sz="8" w:space="0" w:color="000000"/>
            </w:tcBorders>
            <w:shd w:val="clear" w:color="FFFFFF" w:fill="FFFFFF"/>
            <w:noWrap/>
            <w:vAlign w:val="center"/>
            <w:hideMark/>
          </w:tcPr>
          <w:p w14:paraId="5058B7FE" w14:textId="6C2FAAB8" w:rsidR="00D53E14" w:rsidRPr="00DE68A1" w:rsidRDefault="00D53E14" w:rsidP="00D53E14">
            <w:pPr>
              <w:bidi w:val="0"/>
              <w:jc w:val="center"/>
              <w:rPr>
                <w:rFonts w:asciiTheme="minorHAnsi" w:hAnsiTheme="minorHAnsi" w:cstheme="minorHAnsi"/>
                <w:color w:val="333333"/>
                <w:sz w:val="18"/>
                <w:szCs w:val="18"/>
              </w:rPr>
            </w:pPr>
            <w:r w:rsidRPr="00DE68A1">
              <w:rPr>
                <w:rFonts w:asciiTheme="minorHAnsi" w:hAnsiTheme="minorHAnsi" w:cstheme="minorHAnsi"/>
                <w:color w:val="000000"/>
                <w:sz w:val="18"/>
                <w:szCs w:val="18"/>
              </w:rPr>
              <w:t>-</w:t>
            </w:r>
          </w:p>
        </w:tc>
        <w:tc>
          <w:tcPr>
            <w:tcW w:w="1080" w:type="dxa"/>
            <w:tcBorders>
              <w:top w:val="single" w:sz="4" w:space="0" w:color="808080"/>
              <w:left w:val="single" w:sz="4" w:space="0" w:color="808080"/>
              <w:bottom w:val="single" w:sz="4" w:space="0" w:color="808080"/>
              <w:right w:val="single" w:sz="8" w:space="0" w:color="000000"/>
            </w:tcBorders>
            <w:shd w:val="clear" w:color="FFFFFF" w:fill="FFFFFF"/>
            <w:noWrap/>
            <w:vAlign w:val="center"/>
            <w:hideMark/>
          </w:tcPr>
          <w:p w14:paraId="769765EF" w14:textId="76A37E12" w:rsidR="00D53E14" w:rsidRPr="00DE68A1" w:rsidRDefault="00D53E14" w:rsidP="00D53E14">
            <w:pPr>
              <w:bidi w:val="0"/>
              <w:jc w:val="center"/>
              <w:rPr>
                <w:rFonts w:asciiTheme="minorHAnsi" w:hAnsiTheme="minorHAnsi" w:cstheme="minorHAnsi"/>
                <w:color w:val="333333"/>
                <w:sz w:val="18"/>
                <w:szCs w:val="18"/>
              </w:rPr>
            </w:pPr>
            <w:r w:rsidRPr="00DE68A1">
              <w:rPr>
                <w:rFonts w:asciiTheme="minorHAnsi" w:hAnsiTheme="minorHAnsi" w:cstheme="minorHAnsi"/>
                <w:color w:val="333333"/>
                <w:sz w:val="18"/>
                <w:szCs w:val="18"/>
              </w:rPr>
              <w:t>649</w:t>
            </w:r>
          </w:p>
        </w:tc>
      </w:tr>
      <w:tr w:rsidR="007D5D50" w:rsidRPr="00DE68A1" w14:paraId="0C2D0D08" w14:textId="77777777" w:rsidTr="000C403F">
        <w:trPr>
          <w:trHeight w:val="427"/>
        </w:trPr>
        <w:tc>
          <w:tcPr>
            <w:tcW w:w="400" w:type="dxa"/>
            <w:tcBorders>
              <w:top w:val="nil"/>
              <w:left w:val="single" w:sz="8" w:space="0" w:color="auto"/>
              <w:bottom w:val="single" w:sz="4" w:space="0" w:color="auto"/>
              <w:right w:val="single" w:sz="4" w:space="0" w:color="auto"/>
            </w:tcBorders>
            <w:noWrap/>
            <w:vAlign w:val="bottom"/>
            <w:hideMark/>
          </w:tcPr>
          <w:p w14:paraId="7702E683" w14:textId="77777777" w:rsidR="007D5D50" w:rsidRPr="00DE68A1" w:rsidRDefault="007D5D50" w:rsidP="007D5D50">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7</w:t>
            </w:r>
          </w:p>
        </w:tc>
        <w:tc>
          <w:tcPr>
            <w:tcW w:w="3418" w:type="dxa"/>
            <w:tcBorders>
              <w:top w:val="nil"/>
              <w:left w:val="nil"/>
              <w:bottom w:val="single" w:sz="4" w:space="0" w:color="auto"/>
              <w:right w:val="single" w:sz="4" w:space="0" w:color="auto"/>
            </w:tcBorders>
            <w:noWrap/>
            <w:vAlign w:val="bottom"/>
            <w:hideMark/>
          </w:tcPr>
          <w:p w14:paraId="45522F45" w14:textId="77777777" w:rsidR="007D5D50" w:rsidRPr="00DE68A1" w:rsidRDefault="007D5D50" w:rsidP="007D5D50">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Wholesale funding:  </w:t>
            </w:r>
          </w:p>
        </w:tc>
        <w:tc>
          <w:tcPr>
            <w:tcW w:w="5332" w:type="dxa"/>
            <w:gridSpan w:val="5"/>
            <w:tcBorders>
              <w:top w:val="single" w:sz="4" w:space="0" w:color="auto"/>
              <w:left w:val="nil"/>
              <w:bottom w:val="single" w:sz="4" w:space="0" w:color="auto"/>
              <w:right w:val="single" w:sz="8" w:space="0" w:color="000000"/>
            </w:tcBorders>
            <w:noWrap/>
            <w:vAlign w:val="center"/>
            <w:hideMark/>
          </w:tcPr>
          <w:p w14:paraId="7CEC3152" w14:textId="164142C0" w:rsidR="007D5D50" w:rsidRPr="00DE68A1" w:rsidRDefault="007D5D50" w:rsidP="00724E07">
            <w:pPr>
              <w:bidi w:val="0"/>
              <w:jc w:val="center"/>
              <w:rPr>
                <w:rFonts w:asciiTheme="minorHAnsi" w:hAnsiTheme="minorHAnsi" w:cstheme="minorHAnsi"/>
                <w:color w:val="000000"/>
                <w:sz w:val="18"/>
                <w:szCs w:val="18"/>
              </w:rPr>
            </w:pPr>
          </w:p>
        </w:tc>
      </w:tr>
      <w:tr w:rsidR="00724E07" w:rsidRPr="00DE68A1" w14:paraId="21078316" w14:textId="77777777" w:rsidTr="000C403F">
        <w:trPr>
          <w:trHeight w:val="405"/>
        </w:trPr>
        <w:tc>
          <w:tcPr>
            <w:tcW w:w="400" w:type="dxa"/>
            <w:tcBorders>
              <w:top w:val="nil"/>
              <w:left w:val="single" w:sz="8" w:space="0" w:color="auto"/>
              <w:bottom w:val="single" w:sz="4" w:space="0" w:color="auto"/>
              <w:right w:val="single" w:sz="4" w:space="0" w:color="auto"/>
            </w:tcBorders>
            <w:noWrap/>
            <w:vAlign w:val="bottom"/>
            <w:hideMark/>
          </w:tcPr>
          <w:p w14:paraId="3759914C" w14:textId="77777777" w:rsidR="00724E07" w:rsidRPr="00DE68A1" w:rsidRDefault="00724E07" w:rsidP="00724E0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8</w:t>
            </w:r>
          </w:p>
        </w:tc>
        <w:tc>
          <w:tcPr>
            <w:tcW w:w="3418" w:type="dxa"/>
            <w:tcBorders>
              <w:top w:val="nil"/>
              <w:left w:val="nil"/>
              <w:bottom w:val="single" w:sz="4" w:space="0" w:color="auto"/>
              <w:right w:val="single" w:sz="4" w:space="0" w:color="auto"/>
            </w:tcBorders>
            <w:noWrap/>
            <w:vAlign w:val="bottom"/>
            <w:hideMark/>
          </w:tcPr>
          <w:p w14:paraId="0227DC97" w14:textId="77777777" w:rsidR="00724E07" w:rsidRPr="00DE68A1" w:rsidRDefault="00724E07" w:rsidP="00724E0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Operational Deposits </w:t>
            </w:r>
          </w:p>
        </w:tc>
        <w:tc>
          <w:tcPr>
            <w:tcW w:w="992" w:type="dxa"/>
            <w:tcBorders>
              <w:top w:val="nil"/>
              <w:left w:val="nil"/>
              <w:bottom w:val="single" w:sz="4" w:space="0" w:color="auto"/>
              <w:right w:val="single" w:sz="4" w:space="0" w:color="auto"/>
            </w:tcBorders>
            <w:noWrap/>
            <w:vAlign w:val="center"/>
            <w:hideMark/>
          </w:tcPr>
          <w:p w14:paraId="4E464760" w14:textId="2BDFDA0E"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792D0265" w14:textId="0338D58B"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4EC1C956" w14:textId="56EE99C7"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992" w:type="dxa"/>
            <w:tcBorders>
              <w:top w:val="nil"/>
              <w:left w:val="nil"/>
              <w:bottom w:val="single" w:sz="4" w:space="0" w:color="auto"/>
              <w:right w:val="single" w:sz="4" w:space="0" w:color="auto"/>
            </w:tcBorders>
            <w:noWrap/>
            <w:vAlign w:val="center"/>
            <w:hideMark/>
          </w:tcPr>
          <w:p w14:paraId="7B55D0C4" w14:textId="61C3E039"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080" w:type="dxa"/>
            <w:tcBorders>
              <w:top w:val="nil"/>
              <w:left w:val="nil"/>
              <w:bottom w:val="single" w:sz="4" w:space="0" w:color="auto"/>
              <w:right w:val="single" w:sz="8" w:space="0" w:color="auto"/>
            </w:tcBorders>
            <w:noWrap/>
            <w:vAlign w:val="center"/>
            <w:hideMark/>
          </w:tcPr>
          <w:p w14:paraId="2636D7F4" w14:textId="224B0E19"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r>
      <w:tr w:rsidR="00DE68A1" w:rsidRPr="00DE68A1" w14:paraId="4D8BC540" w14:textId="77777777" w:rsidTr="000C403F">
        <w:trPr>
          <w:trHeight w:val="425"/>
        </w:trPr>
        <w:tc>
          <w:tcPr>
            <w:tcW w:w="400" w:type="dxa"/>
            <w:tcBorders>
              <w:top w:val="nil"/>
              <w:left w:val="single" w:sz="8" w:space="0" w:color="auto"/>
              <w:bottom w:val="single" w:sz="4" w:space="0" w:color="auto"/>
              <w:right w:val="single" w:sz="4" w:space="0" w:color="auto"/>
            </w:tcBorders>
            <w:noWrap/>
            <w:vAlign w:val="bottom"/>
            <w:hideMark/>
          </w:tcPr>
          <w:p w14:paraId="383C957F" w14:textId="77777777" w:rsidR="00D22150" w:rsidRPr="00DE68A1" w:rsidRDefault="00D22150" w:rsidP="00D22150">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9</w:t>
            </w:r>
          </w:p>
        </w:tc>
        <w:tc>
          <w:tcPr>
            <w:tcW w:w="3418" w:type="dxa"/>
            <w:tcBorders>
              <w:top w:val="nil"/>
              <w:left w:val="nil"/>
              <w:bottom w:val="single" w:sz="4" w:space="0" w:color="auto"/>
              <w:right w:val="single" w:sz="4" w:space="0" w:color="auto"/>
            </w:tcBorders>
            <w:noWrap/>
            <w:vAlign w:val="bottom"/>
            <w:hideMark/>
          </w:tcPr>
          <w:p w14:paraId="073FECF3" w14:textId="77777777" w:rsidR="00D22150" w:rsidRPr="00DE68A1" w:rsidRDefault="00D22150" w:rsidP="00D22150">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Other wholesale funding </w:t>
            </w:r>
          </w:p>
        </w:tc>
        <w:tc>
          <w:tcPr>
            <w:tcW w:w="992" w:type="dxa"/>
            <w:tcBorders>
              <w:top w:val="single" w:sz="4" w:space="0" w:color="808080"/>
              <w:left w:val="single" w:sz="4" w:space="0" w:color="808080"/>
              <w:bottom w:val="single" w:sz="4" w:space="0" w:color="808080"/>
              <w:right w:val="single" w:sz="4" w:space="0" w:color="808080"/>
            </w:tcBorders>
            <w:shd w:val="clear" w:color="FFFFFF" w:fill="F8FBFC"/>
            <w:noWrap/>
            <w:vAlign w:val="center"/>
            <w:hideMark/>
          </w:tcPr>
          <w:p w14:paraId="3A71E884" w14:textId="244109B3" w:rsidR="00D22150" w:rsidRPr="00DE68A1" w:rsidRDefault="00D22150" w:rsidP="00D53E14">
            <w:pPr>
              <w:bidi w:val="0"/>
              <w:jc w:val="center"/>
              <w:rPr>
                <w:rFonts w:asciiTheme="minorHAnsi" w:hAnsiTheme="minorHAnsi" w:cstheme="minorHAnsi"/>
                <w:color w:val="333333"/>
                <w:sz w:val="18"/>
                <w:szCs w:val="18"/>
              </w:rPr>
            </w:pPr>
            <w:r w:rsidRPr="00DE68A1">
              <w:rPr>
                <w:rFonts w:ascii="Arial" w:hAnsi="Arial" w:cs="Arial"/>
                <w:color w:val="333333"/>
                <w:sz w:val="18"/>
                <w:szCs w:val="18"/>
              </w:rPr>
              <w:t>16,05</w:t>
            </w:r>
            <w:r w:rsidR="00D53E14">
              <w:rPr>
                <w:rFonts w:ascii="Arial" w:hAnsi="Arial" w:cs="Arial"/>
                <w:color w:val="333333"/>
                <w:sz w:val="18"/>
                <w:szCs w:val="18"/>
              </w:rPr>
              <w:t>5</w:t>
            </w:r>
          </w:p>
        </w:tc>
        <w:tc>
          <w:tcPr>
            <w:tcW w:w="1134" w:type="dxa"/>
            <w:tcBorders>
              <w:top w:val="single" w:sz="4" w:space="0" w:color="808080"/>
              <w:left w:val="nil"/>
              <w:bottom w:val="single" w:sz="4" w:space="0" w:color="808080"/>
              <w:right w:val="single" w:sz="4" w:space="0" w:color="808080"/>
            </w:tcBorders>
            <w:shd w:val="clear" w:color="FFFFFF" w:fill="F8FBFC"/>
            <w:noWrap/>
            <w:vAlign w:val="center"/>
            <w:hideMark/>
          </w:tcPr>
          <w:p w14:paraId="3EF1D94F" w14:textId="6E1DEC06" w:rsidR="00D22150" w:rsidRPr="00DE68A1" w:rsidRDefault="00D22150" w:rsidP="00D53E14">
            <w:pPr>
              <w:bidi w:val="0"/>
              <w:jc w:val="center"/>
              <w:rPr>
                <w:rFonts w:asciiTheme="minorHAnsi" w:hAnsiTheme="minorHAnsi" w:cstheme="minorHAnsi"/>
                <w:color w:val="333333"/>
                <w:sz w:val="18"/>
                <w:szCs w:val="18"/>
              </w:rPr>
            </w:pPr>
            <w:r w:rsidRPr="00DE68A1">
              <w:rPr>
                <w:rFonts w:ascii="Arial" w:hAnsi="Arial" w:cs="Arial"/>
                <w:color w:val="333333"/>
                <w:sz w:val="18"/>
                <w:szCs w:val="18"/>
              </w:rPr>
              <w:t>21,880</w:t>
            </w:r>
          </w:p>
        </w:tc>
        <w:tc>
          <w:tcPr>
            <w:tcW w:w="1134" w:type="dxa"/>
            <w:tcBorders>
              <w:top w:val="single" w:sz="4" w:space="0" w:color="808080"/>
              <w:left w:val="nil"/>
              <w:bottom w:val="single" w:sz="4" w:space="0" w:color="808080"/>
              <w:right w:val="single" w:sz="4" w:space="0" w:color="808080"/>
            </w:tcBorders>
            <w:shd w:val="clear" w:color="FFFFFF" w:fill="F8FBFC"/>
            <w:noWrap/>
            <w:vAlign w:val="center"/>
            <w:hideMark/>
          </w:tcPr>
          <w:p w14:paraId="5F2A7EDE" w14:textId="08390A78" w:rsidR="00D22150" w:rsidRPr="00DE68A1" w:rsidRDefault="00D22150" w:rsidP="00D53E14">
            <w:pPr>
              <w:bidi w:val="0"/>
              <w:jc w:val="center"/>
              <w:rPr>
                <w:rFonts w:asciiTheme="minorHAnsi" w:hAnsiTheme="minorHAnsi" w:cstheme="minorHAnsi"/>
                <w:color w:val="333333"/>
                <w:sz w:val="18"/>
                <w:szCs w:val="18"/>
              </w:rPr>
            </w:pPr>
            <w:r w:rsidRPr="00DE68A1">
              <w:rPr>
                <w:rFonts w:ascii="Arial" w:hAnsi="Arial" w:cs="Arial"/>
                <w:color w:val="333333"/>
                <w:sz w:val="18"/>
                <w:szCs w:val="18"/>
              </w:rPr>
              <w:t>16,600</w:t>
            </w:r>
          </w:p>
        </w:tc>
        <w:tc>
          <w:tcPr>
            <w:tcW w:w="992" w:type="dxa"/>
            <w:tcBorders>
              <w:top w:val="single" w:sz="4" w:space="0" w:color="808080"/>
              <w:left w:val="nil"/>
              <w:bottom w:val="single" w:sz="4" w:space="0" w:color="808080"/>
              <w:right w:val="single" w:sz="8" w:space="0" w:color="000000"/>
            </w:tcBorders>
            <w:shd w:val="clear" w:color="FFFFFF" w:fill="F8FBFC"/>
            <w:noWrap/>
            <w:vAlign w:val="center"/>
            <w:hideMark/>
          </w:tcPr>
          <w:p w14:paraId="7C51FC50" w14:textId="58491F0D" w:rsidR="00D22150" w:rsidRPr="00DE68A1" w:rsidRDefault="00D22150" w:rsidP="00D53E14">
            <w:pPr>
              <w:bidi w:val="0"/>
              <w:jc w:val="center"/>
              <w:rPr>
                <w:rFonts w:asciiTheme="minorHAnsi" w:hAnsiTheme="minorHAnsi" w:cstheme="minorHAnsi"/>
                <w:color w:val="333333"/>
                <w:sz w:val="18"/>
                <w:szCs w:val="18"/>
              </w:rPr>
            </w:pPr>
            <w:r w:rsidRPr="00DE68A1">
              <w:rPr>
                <w:rFonts w:ascii="Arial" w:hAnsi="Arial" w:cs="Arial"/>
                <w:color w:val="333333"/>
                <w:sz w:val="18"/>
                <w:szCs w:val="18"/>
              </w:rPr>
              <w:t>405,039</w:t>
            </w:r>
          </w:p>
        </w:tc>
        <w:tc>
          <w:tcPr>
            <w:tcW w:w="1080" w:type="dxa"/>
            <w:tcBorders>
              <w:top w:val="nil"/>
              <w:left w:val="single" w:sz="4" w:space="0" w:color="auto"/>
              <w:bottom w:val="single" w:sz="4" w:space="0" w:color="auto"/>
              <w:right w:val="single" w:sz="8" w:space="0" w:color="auto"/>
            </w:tcBorders>
            <w:noWrap/>
            <w:vAlign w:val="center"/>
            <w:hideMark/>
          </w:tcPr>
          <w:p w14:paraId="704977F4" w14:textId="77718004" w:rsidR="00D22150" w:rsidRPr="00DE68A1" w:rsidRDefault="00D22150" w:rsidP="00D22150">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421</w:t>
            </w:r>
            <w:r w:rsidR="00D53E14">
              <w:rPr>
                <w:rFonts w:asciiTheme="minorHAnsi" w:hAnsiTheme="minorHAnsi" w:cstheme="minorHAnsi"/>
                <w:color w:val="000000"/>
                <w:sz w:val="18"/>
                <w:szCs w:val="18"/>
              </w:rPr>
              <w:t>,</w:t>
            </w:r>
            <w:r w:rsidRPr="00DE68A1">
              <w:rPr>
                <w:rFonts w:asciiTheme="minorHAnsi" w:hAnsiTheme="minorHAnsi" w:cstheme="minorHAnsi"/>
                <w:color w:val="000000"/>
                <w:sz w:val="18"/>
                <w:szCs w:val="18"/>
              </w:rPr>
              <w:t>7</w:t>
            </w:r>
            <w:r w:rsidR="00D53E14">
              <w:rPr>
                <w:rFonts w:asciiTheme="minorHAnsi" w:hAnsiTheme="minorHAnsi" w:cstheme="minorHAnsi"/>
                <w:color w:val="000000"/>
                <w:sz w:val="18"/>
                <w:szCs w:val="18"/>
              </w:rPr>
              <w:t>80</w:t>
            </w:r>
          </w:p>
        </w:tc>
      </w:tr>
      <w:tr w:rsidR="007D5D50" w:rsidRPr="00DE68A1" w14:paraId="117BE9C7" w14:textId="77777777" w:rsidTr="000C403F">
        <w:trPr>
          <w:trHeight w:val="238"/>
        </w:trPr>
        <w:tc>
          <w:tcPr>
            <w:tcW w:w="400" w:type="dxa"/>
            <w:tcBorders>
              <w:top w:val="nil"/>
              <w:left w:val="single" w:sz="8" w:space="0" w:color="auto"/>
              <w:bottom w:val="single" w:sz="4" w:space="0" w:color="auto"/>
              <w:right w:val="single" w:sz="4" w:space="0" w:color="auto"/>
            </w:tcBorders>
            <w:noWrap/>
            <w:vAlign w:val="bottom"/>
            <w:hideMark/>
          </w:tcPr>
          <w:p w14:paraId="061AFA9A" w14:textId="77777777" w:rsidR="007D5D50" w:rsidRPr="00DE68A1" w:rsidRDefault="007D5D50" w:rsidP="007D5D50">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10</w:t>
            </w:r>
          </w:p>
        </w:tc>
        <w:tc>
          <w:tcPr>
            <w:tcW w:w="3418" w:type="dxa"/>
            <w:tcBorders>
              <w:top w:val="nil"/>
              <w:left w:val="nil"/>
              <w:bottom w:val="single" w:sz="4" w:space="0" w:color="auto"/>
              <w:right w:val="single" w:sz="4" w:space="0" w:color="auto"/>
            </w:tcBorders>
            <w:noWrap/>
            <w:vAlign w:val="bottom"/>
            <w:hideMark/>
          </w:tcPr>
          <w:p w14:paraId="540C8AF6" w14:textId="77777777" w:rsidR="007D5D50" w:rsidRPr="00DE68A1" w:rsidRDefault="007D5D50" w:rsidP="007D5D50">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Other Liabilities: </w:t>
            </w:r>
          </w:p>
        </w:tc>
        <w:tc>
          <w:tcPr>
            <w:tcW w:w="5332" w:type="dxa"/>
            <w:gridSpan w:val="5"/>
            <w:tcBorders>
              <w:top w:val="single" w:sz="4" w:space="0" w:color="auto"/>
              <w:left w:val="nil"/>
              <w:bottom w:val="single" w:sz="4" w:space="0" w:color="auto"/>
              <w:right w:val="single" w:sz="8" w:space="0" w:color="000000"/>
            </w:tcBorders>
            <w:noWrap/>
            <w:vAlign w:val="center"/>
            <w:hideMark/>
          </w:tcPr>
          <w:p w14:paraId="003BCEDF" w14:textId="60AA8069" w:rsidR="007D5D50" w:rsidRPr="00DE68A1" w:rsidRDefault="007D5D50" w:rsidP="00724E07">
            <w:pPr>
              <w:bidi w:val="0"/>
              <w:jc w:val="center"/>
              <w:rPr>
                <w:rFonts w:asciiTheme="minorHAnsi" w:hAnsiTheme="minorHAnsi" w:cstheme="minorHAnsi"/>
                <w:color w:val="000000"/>
                <w:sz w:val="18"/>
                <w:szCs w:val="18"/>
              </w:rPr>
            </w:pPr>
          </w:p>
        </w:tc>
      </w:tr>
      <w:tr w:rsidR="00724E07" w:rsidRPr="00DE68A1" w14:paraId="0CBE2BC2" w14:textId="77777777" w:rsidTr="000C403F">
        <w:trPr>
          <w:trHeight w:val="463"/>
        </w:trPr>
        <w:tc>
          <w:tcPr>
            <w:tcW w:w="400" w:type="dxa"/>
            <w:tcBorders>
              <w:top w:val="nil"/>
              <w:left w:val="single" w:sz="8" w:space="0" w:color="auto"/>
              <w:bottom w:val="single" w:sz="4" w:space="0" w:color="auto"/>
              <w:right w:val="single" w:sz="4" w:space="0" w:color="auto"/>
            </w:tcBorders>
            <w:noWrap/>
            <w:vAlign w:val="bottom"/>
            <w:hideMark/>
          </w:tcPr>
          <w:p w14:paraId="59C42393" w14:textId="77777777" w:rsidR="00724E07" w:rsidRPr="00DE68A1" w:rsidRDefault="00724E07" w:rsidP="00724E07">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11</w:t>
            </w:r>
          </w:p>
        </w:tc>
        <w:tc>
          <w:tcPr>
            <w:tcW w:w="3418" w:type="dxa"/>
            <w:tcBorders>
              <w:top w:val="nil"/>
              <w:left w:val="nil"/>
              <w:bottom w:val="single" w:sz="4" w:space="0" w:color="auto"/>
              <w:right w:val="single" w:sz="4" w:space="0" w:color="auto"/>
            </w:tcBorders>
            <w:noWrap/>
            <w:vAlign w:val="bottom"/>
            <w:hideMark/>
          </w:tcPr>
          <w:p w14:paraId="5495B405" w14:textId="77777777" w:rsidR="00724E07" w:rsidRPr="00DE68A1" w:rsidRDefault="00724E07" w:rsidP="00724E07">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NSFR Derivative Liabilities </w:t>
            </w:r>
          </w:p>
        </w:tc>
        <w:tc>
          <w:tcPr>
            <w:tcW w:w="992" w:type="dxa"/>
            <w:tcBorders>
              <w:top w:val="nil"/>
              <w:left w:val="nil"/>
              <w:bottom w:val="single" w:sz="4" w:space="0" w:color="auto"/>
              <w:right w:val="single" w:sz="4" w:space="0" w:color="auto"/>
            </w:tcBorders>
            <w:noWrap/>
            <w:vAlign w:val="center"/>
            <w:hideMark/>
          </w:tcPr>
          <w:p w14:paraId="0E280C45" w14:textId="71F1575B"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single" w:sz="4" w:space="0" w:color="808080"/>
              <w:left w:val="single" w:sz="4" w:space="0" w:color="808080"/>
              <w:bottom w:val="single" w:sz="4" w:space="0" w:color="808080"/>
              <w:right w:val="single" w:sz="4" w:space="0" w:color="808080"/>
            </w:tcBorders>
            <w:shd w:val="clear" w:color="FFFFFF" w:fill="F8FBFC"/>
            <w:noWrap/>
            <w:vAlign w:val="center"/>
            <w:hideMark/>
          </w:tcPr>
          <w:p w14:paraId="316B6E7C" w14:textId="74274816" w:rsidR="00724E07" w:rsidRPr="00DE68A1" w:rsidRDefault="00724E07" w:rsidP="00724E07">
            <w:pPr>
              <w:bidi w:val="0"/>
              <w:jc w:val="center"/>
              <w:rPr>
                <w:rFonts w:asciiTheme="minorHAnsi" w:hAnsiTheme="minorHAnsi" w:cstheme="minorHAnsi"/>
                <w:color w:val="333333"/>
                <w:sz w:val="18"/>
                <w:szCs w:val="18"/>
              </w:rPr>
            </w:pPr>
            <w:r w:rsidRPr="00DE68A1">
              <w:rPr>
                <w:rFonts w:asciiTheme="minorHAnsi" w:hAnsiTheme="minorHAnsi" w:cstheme="minorHAnsi"/>
                <w:color w:val="000000"/>
                <w:sz w:val="18"/>
                <w:szCs w:val="18"/>
              </w:rPr>
              <w:t>-</w:t>
            </w:r>
          </w:p>
        </w:tc>
        <w:tc>
          <w:tcPr>
            <w:tcW w:w="1134" w:type="dxa"/>
            <w:tcBorders>
              <w:top w:val="nil"/>
              <w:left w:val="single" w:sz="4" w:space="0" w:color="auto"/>
              <w:bottom w:val="single" w:sz="4" w:space="0" w:color="auto"/>
              <w:right w:val="single" w:sz="4" w:space="0" w:color="auto"/>
            </w:tcBorders>
            <w:noWrap/>
            <w:vAlign w:val="center"/>
            <w:hideMark/>
          </w:tcPr>
          <w:p w14:paraId="017A6677" w14:textId="467E1187"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992" w:type="dxa"/>
            <w:tcBorders>
              <w:top w:val="nil"/>
              <w:left w:val="nil"/>
              <w:bottom w:val="single" w:sz="4" w:space="0" w:color="auto"/>
              <w:right w:val="single" w:sz="4" w:space="0" w:color="auto"/>
            </w:tcBorders>
            <w:noWrap/>
            <w:vAlign w:val="center"/>
            <w:hideMark/>
          </w:tcPr>
          <w:p w14:paraId="4FB9876C" w14:textId="7B7C5835"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080" w:type="dxa"/>
            <w:tcBorders>
              <w:top w:val="nil"/>
              <w:left w:val="nil"/>
              <w:bottom w:val="single" w:sz="4" w:space="0" w:color="auto"/>
              <w:right w:val="single" w:sz="8" w:space="0" w:color="auto"/>
            </w:tcBorders>
            <w:noWrap/>
            <w:vAlign w:val="center"/>
            <w:hideMark/>
          </w:tcPr>
          <w:p w14:paraId="1B8D09D0" w14:textId="7694C532" w:rsidR="00724E07" w:rsidRPr="00DE68A1" w:rsidRDefault="00724E07" w:rsidP="00724E07">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r>
      <w:tr w:rsidR="00D53E14" w:rsidRPr="00DE68A1" w14:paraId="6AE253E3" w14:textId="77777777" w:rsidTr="000C403F">
        <w:trPr>
          <w:trHeight w:val="396"/>
        </w:trPr>
        <w:tc>
          <w:tcPr>
            <w:tcW w:w="400" w:type="dxa"/>
            <w:tcBorders>
              <w:top w:val="nil"/>
              <w:left w:val="single" w:sz="8" w:space="0" w:color="auto"/>
              <w:bottom w:val="single" w:sz="4" w:space="0" w:color="auto"/>
              <w:right w:val="single" w:sz="4" w:space="0" w:color="auto"/>
            </w:tcBorders>
            <w:noWrap/>
            <w:vAlign w:val="bottom"/>
            <w:hideMark/>
          </w:tcPr>
          <w:p w14:paraId="76A177FB"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12</w:t>
            </w:r>
          </w:p>
        </w:tc>
        <w:tc>
          <w:tcPr>
            <w:tcW w:w="3418" w:type="dxa"/>
            <w:tcBorders>
              <w:top w:val="nil"/>
              <w:left w:val="nil"/>
              <w:bottom w:val="single" w:sz="4" w:space="0" w:color="auto"/>
              <w:right w:val="single" w:sz="4" w:space="0" w:color="auto"/>
            </w:tcBorders>
            <w:vAlign w:val="bottom"/>
            <w:hideMark/>
          </w:tcPr>
          <w:p w14:paraId="2B84D577"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All other liabilities not included in the above categories </w:t>
            </w:r>
          </w:p>
        </w:tc>
        <w:tc>
          <w:tcPr>
            <w:tcW w:w="992" w:type="dxa"/>
            <w:tcBorders>
              <w:top w:val="single" w:sz="4" w:space="0" w:color="808080"/>
              <w:left w:val="single" w:sz="4" w:space="0" w:color="808080"/>
              <w:bottom w:val="single" w:sz="4" w:space="0" w:color="808080"/>
              <w:right w:val="single" w:sz="4" w:space="0" w:color="808080"/>
            </w:tcBorders>
            <w:shd w:val="clear" w:color="FFFFFF" w:fill="FFFFFF"/>
            <w:noWrap/>
            <w:vAlign w:val="center"/>
            <w:hideMark/>
          </w:tcPr>
          <w:p w14:paraId="21FE04AF" w14:textId="734CC6F4" w:rsidR="00D53E14" w:rsidRPr="00DE68A1" w:rsidRDefault="00D53E14" w:rsidP="00D53E14">
            <w:pPr>
              <w:bidi w:val="0"/>
              <w:jc w:val="center"/>
              <w:rPr>
                <w:rFonts w:asciiTheme="minorHAnsi" w:hAnsiTheme="minorHAnsi" w:cstheme="minorHAnsi"/>
                <w:color w:val="333333"/>
                <w:sz w:val="18"/>
                <w:szCs w:val="18"/>
              </w:rPr>
            </w:pPr>
            <w:r w:rsidRPr="00545AA4">
              <w:rPr>
                <w:rFonts w:asciiTheme="minorHAnsi" w:hAnsiTheme="minorHAnsi" w:cstheme="minorHAnsi"/>
                <w:color w:val="000000"/>
                <w:sz w:val="18"/>
                <w:szCs w:val="18"/>
              </w:rPr>
              <w:t>104,683</w:t>
            </w:r>
          </w:p>
        </w:tc>
        <w:tc>
          <w:tcPr>
            <w:tcW w:w="1134" w:type="dxa"/>
            <w:tcBorders>
              <w:top w:val="nil"/>
              <w:left w:val="nil"/>
              <w:bottom w:val="single" w:sz="4" w:space="0" w:color="808080"/>
              <w:right w:val="single" w:sz="4" w:space="0" w:color="808080"/>
            </w:tcBorders>
            <w:shd w:val="clear" w:color="FFFFFF" w:fill="FFFFFF"/>
            <w:noWrap/>
            <w:vAlign w:val="center"/>
            <w:hideMark/>
          </w:tcPr>
          <w:p w14:paraId="290667DF" w14:textId="14BE1218" w:rsidR="00D53E14" w:rsidRPr="00DE68A1" w:rsidRDefault="00D53E14" w:rsidP="00D53E14">
            <w:pPr>
              <w:bidi w:val="0"/>
              <w:jc w:val="center"/>
              <w:rPr>
                <w:rFonts w:asciiTheme="minorHAnsi" w:hAnsiTheme="minorHAnsi" w:cstheme="minorHAnsi"/>
                <w:color w:val="333333"/>
                <w:sz w:val="18"/>
                <w:szCs w:val="18"/>
              </w:rPr>
            </w:pPr>
            <w:r w:rsidRPr="00545AA4">
              <w:rPr>
                <w:rFonts w:asciiTheme="minorHAnsi" w:hAnsiTheme="minorHAnsi" w:cstheme="minorHAnsi"/>
                <w:color w:val="000000"/>
                <w:sz w:val="18"/>
                <w:szCs w:val="18"/>
              </w:rPr>
              <w:t>3,970</w:t>
            </w:r>
          </w:p>
        </w:tc>
        <w:tc>
          <w:tcPr>
            <w:tcW w:w="1134" w:type="dxa"/>
            <w:tcBorders>
              <w:top w:val="single" w:sz="4" w:space="0" w:color="808080"/>
              <w:left w:val="nil"/>
              <w:bottom w:val="single" w:sz="4" w:space="0" w:color="808080"/>
              <w:right w:val="single" w:sz="4" w:space="0" w:color="808080"/>
            </w:tcBorders>
            <w:shd w:val="clear" w:color="FFFFFF" w:fill="FFFFFF"/>
            <w:noWrap/>
            <w:vAlign w:val="center"/>
            <w:hideMark/>
          </w:tcPr>
          <w:p w14:paraId="75CB959F" w14:textId="5D56F0EE" w:rsidR="00D53E14" w:rsidRPr="00DE68A1" w:rsidRDefault="00D53E14" w:rsidP="00D53E14">
            <w:pPr>
              <w:bidi w:val="0"/>
              <w:jc w:val="center"/>
              <w:rPr>
                <w:rFonts w:asciiTheme="minorHAnsi" w:hAnsiTheme="minorHAnsi" w:cstheme="minorHAnsi"/>
                <w:color w:val="333333"/>
                <w:sz w:val="18"/>
                <w:szCs w:val="18"/>
              </w:rPr>
            </w:pPr>
            <w:r w:rsidRPr="00900491">
              <w:rPr>
                <w:rFonts w:asciiTheme="minorHAnsi" w:hAnsiTheme="minorHAnsi" w:cstheme="minorHAnsi"/>
                <w:color w:val="000000"/>
                <w:sz w:val="18"/>
                <w:szCs w:val="18"/>
              </w:rPr>
              <w:t>-</w:t>
            </w:r>
          </w:p>
        </w:tc>
        <w:tc>
          <w:tcPr>
            <w:tcW w:w="992" w:type="dxa"/>
            <w:tcBorders>
              <w:top w:val="single" w:sz="4" w:space="0" w:color="808080"/>
              <w:left w:val="nil"/>
              <w:bottom w:val="single" w:sz="4" w:space="0" w:color="808080"/>
              <w:right w:val="single" w:sz="4" w:space="0" w:color="808080"/>
            </w:tcBorders>
            <w:shd w:val="clear" w:color="FFFFFF" w:fill="FFFFFF"/>
            <w:noWrap/>
            <w:vAlign w:val="center"/>
            <w:hideMark/>
          </w:tcPr>
          <w:p w14:paraId="1E37FD22" w14:textId="3C298CF3" w:rsidR="00D53E14" w:rsidRPr="00DE68A1" w:rsidRDefault="00D53E14" w:rsidP="00D53E14">
            <w:pPr>
              <w:bidi w:val="0"/>
              <w:jc w:val="center"/>
              <w:rPr>
                <w:rFonts w:asciiTheme="minorHAnsi" w:hAnsiTheme="minorHAnsi" w:cstheme="minorHAnsi"/>
                <w:color w:val="333333"/>
                <w:sz w:val="18"/>
                <w:szCs w:val="18"/>
              </w:rPr>
            </w:pPr>
            <w:r w:rsidRPr="00900491">
              <w:rPr>
                <w:rFonts w:asciiTheme="minorHAnsi" w:hAnsiTheme="minorHAnsi" w:cstheme="minorHAnsi"/>
                <w:color w:val="000000"/>
                <w:sz w:val="18"/>
                <w:szCs w:val="18"/>
              </w:rPr>
              <w:t>-</w:t>
            </w:r>
          </w:p>
        </w:tc>
        <w:tc>
          <w:tcPr>
            <w:tcW w:w="1080" w:type="dxa"/>
            <w:tcBorders>
              <w:top w:val="nil"/>
              <w:left w:val="single" w:sz="4" w:space="0" w:color="auto"/>
              <w:bottom w:val="single" w:sz="4" w:space="0" w:color="auto"/>
              <w:right w:val="single" w:sz="8" w:space="0" w:color="auto"/>
            </w:tcBorders>
            <w:noWrap/>
            <w:vAlign w:val="center"/>
            <w:hideMark/>
          </w:tcPr>
          <w:p w14:paraId="64F6CB4E" w14:textId="3479E93C"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r>
      <w:tr w:rsidR="00D53E14" w:rsidRPr="00DE68A1" w14:paraId="12032F2D" w14:textId="77777777" w:rsidTr="000C403F">
        <w:trPr>
          <w:trHeight w:val="239"/>
        </w:trPr>
        <w:tc>
          <w:tcPr>
            <w:tcW w:w="400" w:type="dxa"/>
            <w:tcBorders>
              <w:top w:val="nil"/>
              <w:left w:val="single" w:sz="8" w:space="0" w:color="auto"/>
              <w:bottom w:val="single" w:sz="4" w:space="0" w:color="auto"/>
              <w:right w:val="single" w:sz="4" w:space="0" w:color="auto"/>
            </w:tcBorders>
            <w:noWrap/>
            <w:vAlign w:val="bottom"/>
            <w:hideMark/>
          </w:tcPr>
          <w:p w14:paraId="07B92288" w14:textId="77777777" w:rsidR="00D53E14" w:rsidRPr="00DE68A1" w:rsidRDefault="00D53E14" w:rsidP="00D53E14">
            <w:pPr>
              <w:bidi w:val="0"/>
              <w:jc w:val="right"/>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13</w:t>
            </w:r>
          </w:p>
        </w:tc>
        <w:tc>
          <w:tcPr>
            <w:tcW w:w="3418" w:type="dxa"/>
            <w:tcBorders>
              <w:top w:val="nil"/>
              <w:left w:val="nil"/>
              <w:bottom w:val="single" w:sz="4" w:space="0" w:color="auto"/>
              <w:right w:val="single" w:sz="4" w:space="0" w:color="auto"/>
            </w:tcBorders>
            <w:noWrap/>
            <w:vAlign w:val="bottom"/>
            <w:hideMark/>
          </w:tcPr>
          <w:p w14:paraId="646E60A5" w14:textId="77777777" w:rsidR="00D53E14" w:rsidRPr="00DE68A1" w:rsidRDefault="00D53E14" w:rsidP="00D53E14">
            <w:pPr>
              <w:bidi w:val="0"/>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 xml:space="preserve"> Total ASF </w:t>
            </w:r>
          </w:p>
        </w:tc>
        <w:tc>
          <w:tcPr>
            <w:tcW w:w="992" w:type="dxa"/>
            <w:tcBorders>
              <w:top w:val="single" w:sz="4" w:space="0" w:color="auto"/>
              <w:left w:val="nil"/>
              <w:bottom w:val="single" w:sz="4" w:space="0" w:color="auto"/>
              <w:right w:val="single" w:sz="4" w:space="0" w:color="auto"/>
            </w:tcBorders>
            <w:noWrap/>
            <w:vAlign w:val="center"/>
            <w:hideMark/>
          </w:tcPr>
          <w:p w14:paraId="797E7E58" w14:textId="56836496" w:rsidR="00D53E14" w:rsidRPr="00DE68A1" w:rsidRDefault="00D53E14" w:rsidP="00D53E14">
            <w:pPr>
              <w:bidi w:val="0"/>
              <w:jc w:val="center"/>
              <w:rPr>
                <w:rFonts w:asciiTheme="minorHAnsi" w:hAnsiTheme="minorHAnsi" w:cstheme="minorHAnsi"/>
                <w:b/>
                <w:bCs/>
                <w:color w:val="000000"/>
                <w:sz w:val="18"/>
                <w:szCs w:val="18"/>
              </w:rPr>
            </w:pPr>
            <w:r w:rsidRPr="00545AA4">
              <w:rPr>
                <w:rFonts w:asciiTheme="minorHAnsi" w:hAnsiTheme="minorHAnsi" w:cstheme="minorHAnsi"/>
                <w:b/>
                <w:bCs/>
                <w:color w:val="000000"/>
                <w:sz w:val="18"/>
                <w:szCs w:val="18"/>
              </w:rPr>
              <w:t>491,376</w:t>
            </w:r>
          </w:p>
        </w:tc>
        <w:tc>
          <w:tcPr>
            <w:tcW w:w="1134" w:type="dxa"/>
            <w:tcBorders>
              <w:top w:val="single" w:sz="4" w:space="0" w:color="auto"/>
              <w:left w:val="nil"/>
              <w:bottom w:val="single" w:sz="4" w:space="0" w:color="auto"/>
              <w:right w:val="single" w:sz="4" w:space="0" w:color="auto"/>
            </w:tcBorders>
            <w:noWrap/>
            <w:vAlign w:val="center"/>
            <w:hideMark/>
          </w:tcPr>
          <w:p w14:paraId="04C1DF19" w14:textId="793C16F1" w:rsidR="00D53E14" w:rsidRPr="00DE68A1" w:rsidRDefault="00D53E14" w:rsidP="00D53E14">
            <w:pPr>
              <w:bidi w:val="0"/>
              <w:jc w:val="center"/>
              <w:rPr>
                <w:rFonts w:asciiTheme="minorHAnsi" w:hAnsiTheme="minorHAnsi" w:cstheme="minorHAnsi"/>
                <w:b/>
                <w:bCs/>
                <w:color w:val="000000"/>
                <w:sz w:val="18"/>
                <w:szCs w:val="18"/>
              </w:rPr>
            </w:pPr>
            <w:r w:rsidRPr="00545AA4">
              <w:rPr>
                <w:rFonts w:asciiTheme="minorHAnsi" w:hAnsiTheme="minorHAnsi" w:cstheme="minorHAnsi"/>
                <w:b/>
                <w:bCs/>
                <w:color w:val="000000"/>
                <w:sz w:val="18"/>
                <w:szCs w:val="18"/>
              </w:rPr>
              <w:t>26,571</w:t>
            </w:r>
          </w:p>
        </w:tc>
        <w:tc>
          <w:tcPr>
            <w:tcW w:w="1134" w:type="dxa"/>
            <w:tcBorders>
              <w:top w:val="single" w:sz="4" w:space="0" w:color="auto"/>
              <w:left w:val="nil"/>
              <w:bottom w:val="single" w:sz="4" w:space="0" w:color="auto"/>
              <w:right w:val="single" w:sz="4" w:space="0" w:color="auto"/>
            </w:tcBorders>
            <w:noWrap/>
            <w:vAlign w:val="center"/>
            <w:hideMark/>
          </w:tcPr>
          <w:p w14:paraId="1C986F91" w14:textId="0430D42E" w:rsidR="00D53E14" w:rsidRPr="00DE68A1" w:rsidRDefault="00D53E14" w:rsidP="00D53E14">
            <w:pPr>
              <w:bidi w:val="0"/>
              <w:jc w:val="center"/>
              <w:rPr>
                <w:rFonts w:asciiTheme="minorHAnsi" w:hAnsiTheme="minorHAnsi" w:cstheme="minorHAnsi"/>
                <w:b/>
                <w:bCs/>
                <w:color w:val="000000"/>
                <w:sz w:val="18"/>
                <w:szCs w:val="18"/>
              </w:rPr>
            </w:pPr>
            <w:r w:rsidRPr="00545AA4">
              <w:rPr>
                <w:rFonts w:asciiTheme="minorHAnsi" w:hAnsiTheme="minorHAnsi" w:cstheme="minorHAnsi"/>
                <w:b/>
                <w:bCs/>
                <w:color w:val="000000"/>
                <w:sz w:val="18"/>
                <w:szCs w:val="18"/>
              </w:rPr>
              <w:t>16,600</w:t>
            </w:r>
          </w:p>
        </w:tc>
        <w:tc>
          <w:tcPr>
            <w:tcW w:w="992" w:type="dxa"/>
            <w:tcBorders>
              <w:top w:val="single" w:sz="4" w:space="0" w:color="auto"/>
              <w:left w:val="nil"/>
              <w:bottom w:val="single" w:sz="4" w:space="0" w:color="auto"/>
              <w:right w:val="single" w:sz="4" w:space="0" w:color="auto"/>
            </w:tcBorders>
            <w:noWrap/>
            <w:vAlign w:val="center"/>
            <w:hideMark/>
          </w:tcPr>
          <w:p w14:paraId="1EFCCAF8" w14:textId="22CDD5C2" w:rsidR="00D53E14" w:rsidRPr="00DE68A1" w:rsidRDefault="00D53E14" w:rsidP="00D53E14">
            <w:pPr>
              <w:bidi w:val="0"/>
              <w:jc w:val="center"/>
              <w:rPr>
                <w:rFonts w:asciiTheme="minorHAnsi" w:hAnsiTheme="minorHAnsi" w:cstheme="minorHAnsi"/>
                <w:b/>
                <w:bCs/>
                <w:color w:val="000000"/>
                <w:sz w:val="18"/>
                <w:szCs w:val="18"/>
              </w:rPr>
            </w:pPr>
            <w:r w:rsidRPr="00545AA4">
              <w:rPr>
                <w:rFonts w:asciiTheme="minorHAnsi" w:hAnsiTheme="minorHAnsi" w:cstheme="minorHAnsi"/>
                <w:b/>
                <w:bCs/>
                <w:color w:val="000000"/>
                <w:sz w:val="18"/>
                <w:szCs w:val="18"/>
              </w:rPr>
              <w:t>405,039</w:t>
            </w:r>
          </w:p>
        </w:tc>
        <w:tc>
          <w:tcPr>
            <w:tcW w:w="1080" w:type="dxa"/>
            <w:tcBorders>
              <w:top w:val="nil"/>
              <w:left w:val="nil"/>
              <w:bottom w:val="single" w:sz="4" w:space="0" w:color="auto"/>
              <w:right w:val="single" w:sz="4" w:space="0" w:color="auto"/>
            </w:tcBorders>
            <w:noWrap/>
            <w:vAlign w:val="center"/>
            <w:hideMark/>
          </w:tcPr>
          <w:p w14:paraId="630355E5" w14:textId="609E5D7E" w:rsidR="00D53E14" w:rsidRPr="00DE68A1" w:rsidRDefault="00D53E14" w:rsidP="00D53E14">
            <w:pPr>
              <w:bidi w:val="0"/>
              <w:jc w:val="center"/>
              <w:rPr>
                <w:rFonts w:asciiTheme="minorHAnsi" w:hAnsiTheme="minorHAnsi" w:cstheme="minorHAnsi"/>
                <w:b/>
                <w:bCs/>
                <w:color w:val="000000"/>
                <w:sz w:val="18"/>
                <w:szCs w:val="18"/>
              </w:rPr>
            </w:pPr>
            <w:r w:rsidRPr="00545AA4">
              <w:rPr>
                <w:rFonts w:asciiTheme="minorHAnsi" w:hAnsiTheme="minorHAnsi" w:cstheme="minorHAnsi"/>
                <w:b/>
                <w:bCs/>
                <w:color w:val="000000"/>
                <w:sz w:val="18"/>
                <w:szCs w:val="18"/>
              </w:rPr>
              <w:t>785,841</w:t>
            </w:r>
          </w:p>
        </w:tc>
      </w:tr>
      <w:tr w:rsidR="007D5D50" w:rsidRPr="00DE68A1" w14:paraId="6312E5E0" w14:textId="77777777" w:rsidTr="00D22150">
        <w:trPr>
          <w:trHeight w:val="239"/>
        </w:trPr>
        <w:tc>
          <w:tcPr>
            <w:tcW w:w="9150" w:type="dxa"/>
            <w:gridSpan w:val="7"/>
            <w:tcBorders>
              <w:top w:val="single" w:sz="4" w:space="0" w:color="auto"/>
              <w:left w:val="single" w:sz="8" w:space="0" w:color="auto"/>
              <w:bottom w:val="single" w:sz="4" w:space="0" w:color="auto"/>
              <w:right w:val="single" w:sz="8" w:space="0" w:color="000000"/>
            </w:tcBorders>
            <w:shd w:val="clear" w:color="000000" w:fill="C4BD97"/>
            <w:noWrap/>
            <w:vAlign w:val="bottom"/>
            <w:hideMark/>
          </w:tcPr>
          <w:p w14:paraId="1F3583ED" w14:textId="77777777" w:rsidR="007D5D50" w:rsidRPr="00DE68A1" w:rsidRDefault="007D5D50" w:rsidP="007D5D50">
            <w:pPr>
              <w:bidi w:val="0"/>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 xml:space="preserve"> Required Stable Funding (RSF): </w:t>
            </w:r>
          </w:p>
        </w:tc>
      </w:tr>
      <w:tr w:rsidR="00D53E14" w:rsidRPr="00DE68A1" w14:paraId="58C1B95E" w14:textId="77777777" w:rsidTr="000C403F">
        <w:trPr>
          <w:trHeight w:val="239"/>
        </w:trPr>
        <w:tc>
          <w:tcPr>
            <w:tcW w:w="400" w:type="dxa"/>
            <w:tcBorders>
              <w:top w:val="nil"/>
              <w:left w:val="single" w:sz="8" w:space="0" w:color="auto"/>
              <w:bottom w:val="single" w:sz="4" w:space="0" w:color="auto"/>
              <w:right w:val="single" w:sz="4" w:space="0" w:color="auto"/>
            </w:tcBorders>
            <w:noWrap/>
            <w:vAlign w:val="bottom"/>
            <w:hideMark/>
          </w:tcPr>
          <w:p w14:paraId="6709A6DA"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14</w:t>
            </w:r>
          </w:p>
        </w:tc>
        <w:tc>
          <w:tcPr>
            <w:tcW w:w="3418" w:type="dxa"/>
            <w:tcBorders>
              <w:top w:val="nil"/>
              <w:left w:val="nil"/>
              <w:bottom w:val="single" w:sz="4" w:space="0" w:color="auto"/>
              <w:right w:val="single" w:sz="4" w:space="0" w:color="auto"/>
            </w:tcBorders>
            <w:noWrap/>
            <w:vAlign w:val="bottom"/>
            <w:hideMark/>
          </w:tcPr>
          <w:p w14:paraId="7852E949"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Total NSFR high - quality liquid assets (HQLA) </w:t>
            </w:r>
          </w:p>
        </w:tc>
        <w:tc>
          <w:tcPr>
            <w:tcW w:w="992" w:type="dxa"/>
            <w:tcBorders>
              <w:top w:val="nil"/>
              <w:left w:val="nil"/>
              <w:bottom w:val="single" w:sz="4" w:space="0" w:color="auto"/>
              <w:right w:val="single" w:sz="4" w:space="0" w:color="auto"/>
            </w:tcBorders>
            <w:noWrap/>
            <w:vAlign w:val="center"/>
            <w:hideMark/>
          </w:tcPr>
          <w:p w14:paraId="1FCC8B89" w14:textId="4765C99A" w:rsidR="00D53E14" w:rsidRPr="00DE68A1" w:rsidRDefault="00D53E14" w:rsidP="00D53E14">
            <w:pPr>
              <w:bidi w:val="0"/>
              <w:jc w:val="center"/>
              <w:rPr>
                <w:rFonts w:asciiTheme="minorHAnsi" w:hAnsiTheme="minorHAnsi" w:cstheme="minorHAnsi"/>
                <w:color w:val="000000"/>
                <w:sz w:val="18"/>
                <w:szCs w:val="18"/>
              </w:rPr>
            </w:pPr>
            <w:r w:rsidRPr="004E1949">
              <w:rPr>
                <w:rFonts w:asciiTheme="minorHAnsi" w:hAnsiTheme="minorHAnsi" w:cstheme="minorHAnsi"/>
                <w:color w:val="000000"/>
                <w:sz w:val="18"/>
                <w:szCs w:val="18"/>
              </w:rPr>
              <w:t>74,937</w:t>
            </w:r>
          </w:p>
        </w:tc>
        <w:tc>
          <w:tcPr>
            <w:tcW w:w="1134" w:type="dxa"/>
            <w:tcBorders>
              <w:top w:val="nil"/>
              <w:left w:val="nil"/>
              <w:bottom w:val="single" w:sz="4" w:space="0" w:color="auto"/>
              <w:right w:val="single" w:sz="4" w:space="0" w:color="auto"/>
            </w:tcBorders>
            <w:noWrap/>
            <w:vAlign w:val="center"/>
            <w:hideMark/>
          </w:tcPr>
          <w:p w14:paraId="0511BD8C" w14:textId="4A6AD9A6"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14A14EDF" w14:textId="49DB0056"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992" w:type="dxa"/>
            <w:tcBorders>
              <w:top w:val="nil"/>
              <w:left w:val="nil"/>
              <w:bottom w:val="single" w:sz="4" w:space="0" w:color="auto"/>
              <w:right w:val="single" w:sz="4" w:space="0" w:color="auto"/>
            </w:tcBorders>
            <w:noWrap/>
            <w:vAlign w:val="center"/>
            <w:hideMark/>
          </w:tcPr>
          <w:p w14:paraId="0B5B7E88" w14:textId="70BE3672"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080" w:type="dxa"/>
            <w:tcBorders>
              <w:top w:val="nil"/>
              <w:left w:val="nil"/>
              <w:bottom w:val="single" w:sz="4" w:space="0" w:color="auto"/>
              <w:right w:val="single" w:sz="8" w:space="0" w:color="auto"/>
            </w:tcBorders>
            <w:noWrap/>
            <w:vAlign w:val="center"/>
            <w:hideMark/>
          </w:tcPr>
          <w:p w14:paraId="133975AD" w14:textId="2B6843A0" w:rsidR="00D53E14" w:rsidRPr="00DE68A1" w:rsidRDefault="00D53E14" w:rsidP="00D53E14">
            <w:pPr>
              <w:bidi w:val="0"/>
              <w:jc w:val="center"/>
              <w:rPr>
                <w:rFonts w:ascii="Arial" w:hAnsi="Arial" w:cs="Arial"/>
                <w:color w:val="000000"/>
                <w:sz w:val="18"/>
                <w:szCs w:val="18"/>
              </w:rPr>
            </w:pPr>
            <w:r w:rsidRPr="00DE68A1">
              <w:rPr>
                <w:rFonts w:ascii="Arial" w:hAnsi="Arial" w:cs="Arial"/>
                <w:color w:val="000000"/>
                <w:sz w:val="18"/>
                <w:szCs w:val="18"/>
              </w:rPr>
              <w:t>3,550</w:t>
            </w:r>
          </w:p>
          <w:p w14:paraId="5011DFC0" w14:textId="503D9AAB" w:rsidR="00D53E14" w:rsidRPr="00DE68A1" w:rsidRDefault="00D53E14" w:rsidP="00D53E14">
            <w:pPr>
              <w:bidi w:val="0"/>
              <w:jc w:val="center"/>
              <w:rPr>
                <w:rFonts w:asciiTheme="minorHAnsi" w:hAnsiTheme="minorHAnsi" w:cstheme="minorHAnsi"/>
                <w:color w:val="000000"/>
                <w:sz w:val="18"/>
                <w:szCs w:val="18"/>
              </w:rPr>
            </w:pPr>
          </w:p>
        </w:tc>
      </w:tr>
      <w:tr w:rsidR="00D53E14" w:rsidRPr="00DE68A1" w14:paraId="5ED14FED" w14:textId="77777777" w:rsidTr="000C403F">
        <w:trPr>
          <w:trHeight w:val="396"/>
        </w:trPr>
        <w:tc>
          <w:tcPr>
            <w:tcW w:w="400" w:type="dxa"/>
            <w:tcBorders>
              <w:top w:val="nil"/>
              <w:left w:val="single" w:sz="8" w:space="0" w:color="auto"/>
              <w:bottom w:val="single" w:sz="4" w:space="0" w:color="auto"/>
              <w:right w:val="single" w:sz="4" w:space="0" w:color="auto"/>
            </w:tcBorders>
            <w:noWrap/>
            <w:vAlign w:val="bottom"/>
            <w:hideMark/>
          </w:tcPr>
          <w:p w14:paraId="1AF12537"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15</w:t>
            </w:r>
          </w:p>
        </w:tc>
        <w:tc>
          <w:tcPr>
            <w:tcW w:w="3418" w:type="dxa"/>
            <w:tcBorders>
              <w:top w:val="nil"/>
              <w:left w:val="nil"/>
              <w:bottom w:val="single" w:sz="4" w:space="0" w:color="auto"/>
              <w:right w:val="single" w:sz="4" w:space="0" w:color="auto"/>
            </w:tcBorders>
            <w:vAlign w:val="bottom"/>
            <w:hideMark/>
          </w:tcPr>
          <w:p w14:paraId="302D6F32"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Deposits held at other financial institutions for operational purposes </w:t>
            </w:r>
          </w:p>
        </w:tc>
        <w:tc>
          <w:tcPr>
            <w:tcW w:w="992" w:type="dxa"/>
            <w:tcBorders>
              <w:top w:val="nil"/>
              <w:left w:val="nil"/>
              <w:bottom w:val="single" w:sz="4" w:space="0" w:color="auto"/>
              <w:right w:val="single" w:sz="4" w:space="0" w:color="auto"/>
            </w:tcBorders>
            <w:noWrap/>
            <w:vAlign w:val="center"/>
            <w:hideMark/>
          </w:tcPr>
          <w:p w14:paraId="5A0F9E30" w14:textId="648BFF36"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24348D27" w14:textId="1E6B7E9F"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0F17D25C" w14:textId="2848FB5D"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992" w:type="dxa"/>
            <w:tcBorders>
              <w:top w:val="nil"/>
              <w:left w:val="nil"/>
              <w:bottom w:val="single" w:sz="4" w:space="0" w:color="auto"/>
              <w:right w:val="single" w:sz="4" w:space="0" w:color="auto"/>
            </w:tcBorders>
            <w:noWrap/>
            <w:vAlign w:val="center"/>
            <w:hideMark/>
          </w:tcPr>
          <w:p w14:paraId="1FEDC7F3" w14:textId="30EB167E"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080" w:type="dxa"/>
            <w:tcBorders>
              <w:top w:val="nil"/>
              <w:left w:val="nil"/>
              <w:bottom w:val="single" w:sz="4" w:space="0" w:color="auto"/>
              <w:right w:val="single" w:sz="8" w:space="0" w:color="auto"/>
            </w:tcBorders>
            <w:noWrap/>
            <w:vAlign w:val="center"/>
            <w:hideMark/>
          </w:tcPr>
          <w:p w14:paraId="001C756C" w14:textId="0DCF473E"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r>
      <w:tr w:rsidR="00D53E14" w:rsidRPr="00DE68A1" w14:paraId="091641E1" w14:textId="77777777" w:rsidTr="000C403F">
        <w:trPr>
          <w:trHeight w:val="239"/>
        </w:trPr>
        <w:tc>
          <w:tcPr>
            <w:tcW w:w="400" w:type="dxa"/>
            <w:tcBorders>
              <w:top w:val="nil"/>
              <w:left w:val="single" w:sz="8" w:space="0" w:color="auto"/>
              <w:bottom w:val="single" w:sz="4" w:space="0" w:color="auto"/>
              <w:right w:val="single" w:sz="4" w:space="0" w:color="auto"/>
            </w:tcBorders>
            <w:noWrap/>
            <w:vAlign w:val="bottom"/>
            <w:hideMark/>
          </w:tcPr>
          <w:p w14:paraId="1EF430EF"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16</w:t>
            </w:r>
          </w:p>
        </w:tc>
        <w:tc>
          <w:tcPr>
            <w:tcW w:w="3418" w:type="dxa"/>
            <w:tcBorders>
              <w:top w:val="nil"/>
              <w:left w:val="nil"/>
              <w:bottom w:val="single" w:sz="4" w:space="0" w:color="auto"/>
              <w:right w:val="single" w:sz="4" w:space="0" w:color="auto"/>
            </w:tcBorders>
            <w:noWrap/>
            <w:vAlign w:val="bottom"/>
            <w:hideMark/>
          </w:tcPr>
          <w:p w14:paraId="19061007"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Performing Loans &amp; Securities: </w:t>
            </w:r>
          </w:p>
        </w:tc>
        <w:tc>
          <w:tcPr>
            <w:tcW w:w="5332" w:type="dxa"/>
            <w:gridSpan w:val="5"/>
            <w:tcBorders>
              <w:top w:val="single" w:sz="4" w:space="0" w:color="auto"/>
              <w:left w:val="nil"/>
              <w:bottom w:val="single" w:sz="4" w:space="0" w:color="auto"/>
              <w:right w:val="single" w:sz="8" w:space="0" w:color="000000"/>
            </w:tcBorders>
            <w:noWrap/>
            <w:vAlign w:val="center"/>
            <w:hideMark/>
          </w:tcPr>
          <w:p w14:paraId="18A18FCC" w14:textId="4C432EE7" w:rsidR="00D53E14" w:rsidRPr="00DE68A1" w:rsidRDefault="00D53E14" w:rsidP="00D53E14">
            <w:pPr>
              <w:bidi w:val="0"/>
              <w:jc w:val="center"/>
              <w:rPr>
                <w:rFonts w:asciiTheme="minorHAnsi" w:hAnsiTheme="minorHAnsi" w:cstheme="minorHAnsi"/>
                <w:color w:val="000000"/>
                <w:sz w:val="18"/>
                <w:szCs w:val="18"/>
              </w:rPr>
            </w:pPr>
          </w:p>
        </w:tc>
      </w:tr>
      <w:tr w:rsidR="00D53E14" w:rsidRPr="00DE68A1" w14:paraId="07E839B2" w14:textId="77777777" w:rsidTr="000C403F">
        <w:trPr>
          <w:trHeight w:val="396"/>
        </w:trPr>
        <w:tc>
          <w:tcPr>
            <w:tcW w:w="400" w:type="dxa"/>
            <w:tcBorders>
              <w:top w:val="nil"/>
              <w:left w:val="single" w:sz="8" w:space="0" w:color="auto"/>
              <w:bottom w:val="single" w:sz="4" w:space="0" w:color="auto"/>
              <w:right w:val="single" w:sz="4" w:space="0" w:color="auto"/>
            </w:tcBorders>
            <w:noWrap/>
            <w:vAlign w:val="bottom"/>
            <w:hideMark/>
          </w:tcPr>
          <w:p w14:paraId="35EA1421"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17</w:t>
            </w:r>
          </w:p>
        </w:tc>
        <w:tc>
          <w:tcPr>
            <w:tcW w:w="3418" w:type="dxa"/>
            <w:tcBorders>
              <w:top w:val="nil"/>
              <w:left w:val="nil"/>
              <w:bottom w:val="single" w:sz="4" w:space="0" w:color="auto"/>
              <w:right w:val="single" w:sz="4" w:space="0" w:color="auto"/>
            </w:tcBorders>
            <w:vAlign w:val="bottom"/>
            <w:hideMark/>
          </w:tcPr>
          <w:p w14:paraId="70130316"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Performing Loans to financial institutions secured by Level 1 HQLA </w:t>
            </w:r>
          </w:p>
        </w:tc>
        <w:tc>
          <w:tcPr>
            <w:tcW w:w="992" w:type="dxa"/>
            <w:tcBorders>
              <w:top w:val="single" w:sz="4" w:space="0" w:color="808080"/>
              <w:left w:val="single" w:sz="4" w:space="0" w:color="808080"/>
              <w:bottom w:val="single" w:sz="4" w:space="0" w:color="808080"/>
              <w:right w:val="single" w:sz="4" w:space="0" w:color="808080"/>
            </w:tcBorders>
            <w:shd w:val="clear" w:color="FFFFFF" w:fill="F8FBFC"/>
            <w:noWrap/>
            <w:vAlign w:val="center"/>
            <w:hideMark/>
          </w:tcPr>
          <w:p w14:paraId="246A5FAD" w14:textId="371A60ED" w:rsidR="00D53E14" w:rsidRPr="00DE68A1" w:rsidRDefault="00D53E14" w:rsidP="00D53E14">
            <w:pPr>
              <w:bidi w:val="0"/>
              <w:jc w:val="center"/>
              <w:rPr>
                <w:rFonts w:asciiTheme="minorHAnsi" w:hAnsiTheme="minorHAnsi" w:cstheme="minorHAnsi"/>
                <w:color w:val="333333"/>
                <w:sz w:val="18"/>
                <w:szCs w:val="18"/>
              </w:rPr>
            </w:pPr>
            <w:r w:rsidRPr="004B0ED6">
              <w:rPr>
                <w:rFonts w:asciiTheme="minorHAnsi" w:hAnsiTheme="minorHAnsi" w:cstheme="minorHAnsi"/>
                <w:color w:val="000000"/>
                <w:sz w:val="18"/>
                <w:szCs w:val="18"/>
              </w:rPr>
              <w:t xml:space="preserve"> 8,287</w:t>
            </w:r>
          </w:p>
        </w:tc>
        <w:tc>
          <w:tcPr>
            <w:tcW w:w="1134" w:type="dxa"/>
            <w:tcBorders>
              <w:top w:val="single" w:sz="4" w:space="0" w:color="808080"/>
              <w:left w:val="nil"/>
              <w:bottom w:val="single" w:sz="4" w:space="0" w:color="808080"/>
              <w:right w:val="single" w:sz="4" w:space="0" w:color="808080"/>
            </w:tcBorders>
            <w:shd w:val="clear" w:color="FFFFFF" w:fill="F8FBFC"/>
            <w:noWrap/>
            <w:vAlign w:val="center"/>
            <w:hideMark/>
          </w:tcPr>
          <w:p w14:paraId="1FE52CEB" w14:textId="0CBED9F7" w:rsidR="00D53E14" w:rsidRPr="00DE68A1" w:rsidRDefault="00D53E14" w:rsidP="00D53E14">
            <w:pPr>
              <w:bidi w:val="0"/>
              <w:jc w:val="center"/>
              <w:rPr>
                <w:rFonts w:asciiTheme="minorHAnsi" w:hAnsiTheme="minorHAnsi" w:cstheme="minorHAnsi"/>
                <w:color w:val="333333"/>
                <w:sz w:val="18"/>
                <w:szCs w:val="18"/>
              </w:rPr>
            </w:pPr>
            <w:r w:rsidRPr="004B0ED6">
              <w:rPr>
                <w:rFonts w:asciiTheme="minorHAnsi" w:hAnsiTheme="minorHAnsi" w:cstheme="minorHAnsi"/>
                <w:color w:val="000000"/>
                <w:sz w:val="18"/>
                <w:szCs w:val="18"/>
              </w:rPr>
              <w:t>183,300</w:t>
            </w:r>
          </w:p>
        </w:tc>
        <w:tc>
          <w:tcPr>
            <w:tcW w:w="1134" w:type="dxa"/>
            <w:tcBorders>
              <w:top w:val="single" w:sz="4" w:space="0" w:color="808080"/>
              <w:left w:val="nil"/>
              <w:bottom w:val="single" w:sz="4" w:space="0" w:color="808080"/>
              <w:right w:val="single" w:sz="4" w:space="0" w:color="808080"/>
            </w:tcBorders>
            <w:shd w:val="clear" w:color="FFFFFF" w:fill="F8FBFC"/>
            <w:noWrap/>
            <w:vAlign w:val="center"/>
            <w:hideMark/>
          </w:tcPr>
          <w:p w14:paraId="35F8E845" w14:textId="2436C622" w:rsidR="00D53E14" w:rsidRPr="00DE68A1" w:rsidRDefault="00D53E14" w:rsidP="00D53E14">
            <w:pPr>
              <w:bidi w:val="0"/>
              <w:jc w:val="center"/>
              <w:rPr>
                <w:rFonts w:asciiTheme="minorHAnsi" w:hAnsiTheme="minorHAnsi" w:cstheme="minorHAnsi"/>
                <w:color w:val="333333"/>
                <w:sz w:val="18"/>
                <w:szCs w:val="18"/>
              </w:rPr>
            </w:pPr>
            <w:r w:rsidRPr="004B0ED6">
              <w:rPr>
                <w:rFonts w:asciiTheme="minorHAnsi" w:hAnsiTheme="minorHAnsi" w:cstheme="minorHAnsi"/>
                <w:color w:val="000000"/>
                <w:sz w:val="18"/>
                <w:szCs w:val="18"/>
              </w:rPr>
              <w:t>103,000</w:t>
            </w:r>
          </w:p>
        </w:tc>
        <w:tc>
          <w:tcPr>
            <w:tcW w:w="992" w:type="dxa"/>
            <w:tcBorders>
              <w:top w:val="single" w:sz="4" w:space="0" w:color="808080"/>
              <w:left w:val="nil"/>
              <w:bottom w:val="single" w:sz="4" w:space="0" w:color="808080"/>
              <w:right w:val="single" w:sz="8" w:space="0" w:color="000000"/>
            </w:tcBorders>
            <w:shd w:val="clear" w:color="FFFFFF" w:fill="F8FBFC"/>
            <w:noWrap/>
            <w:vAlign w:val="center"/>
            <w:hideMark/>
          </w:tcPr>
          <w:p w14:paraId="28F3820C" w14:textId="735CCB35" w:rsidR="00D53E14" w:rsidRPr="00DE68A1" w:rsidRDefault="00D53E14" w:rsidP="00D53E14">
            <w:pPr>
              <w:bidi w:val="0"/>
              <w:jc w:val="center"/>
              <w:rPr>
                <w:rFonts w:asciiTheme="minorHAnsi" w:hAnsiTheme="minorHAnsi" w:cstheme="minorHAnsi"/>
                <w:color w:val="333333"/>
                <w:sz w:val="18"/>
                <w:szCs w:val="18"/>
              </w:rPr>
            </w:pPr>
            <w:r w:rsidRPr="00DE68A1">
              <w:rPr>
                <w:rFonts w:asciiTheme="minorHAnsi" w:hAnsiTheme="minorHAnsi" w:cstheme="minorHAnsi"/>
                <w:color w:val="000000"/>
                <w:sz w:val="18"/>
                <w:szCs w:val="18"/>
              </w:rPr>
              <w:t>-</w:t>
            </w:r>
          </w:p>
        </w:tc>
        <w:tc>
          <w:tcPr>
            <w:tcW w:w="1080" w:type="dxa"/>
            <w:tcBorders>
              <w:top w:val="nil"/>
              <w:left w:val="single" w:sz="4" w:space="0" w:color="auto"/>
              <w:bottom w:val="single" w:sz="4" w:space="0" w:color="auto"/>
              <w:right w:val="single" w:sz="8" w:space="0" w:color="auto"/>
            </w:tcBorders>
            <w:noWrap/>
            <w:vAlign w:val="center"/>
            <w:hideMark/>
          </w:tcPr>
          <w:p w14:paraId="20D0DE2D" w14:textId="59E52336" w:rsidR="00D53E14" w:rsidRPr="00DE68A1" w:rsidRDefault="00D53E14" w:rsidP="00D53E14">
            <w:pPr>
              <w:bidi w:val="0"/>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69,830</w:t>
            </w:r>
          </w:p>
        </w:tc>
      </w:tr>
      <w:tr w:rsidR="00D53E14" w:rsidRPr="00DE68A1" w14:paraId="63839F04" w14:textId="77777777" w:rsidTr="000C403F">
        <w:trPr>
          <w:trHeight w:val="592"/>
        </w:trPr>
        <w:tc>
          <w:tcPr>
            <w:tcW w:w="400" w:type="dxa"/>
            <w:tcBorders>
              <w:top w:val="nil"/>
              <w:left w:val="single" w:sz="8" w:space="0" w:color="auto"/>
              <w:bottom w:val="single" w:sz="4" w:space="0" w:color="auto"/>
              <w:right w:val="single" w:sz="4" w:space="0" w:color="auto"/>
            </w:tcBorders>
            <w:noWrap/>
            <w:vAlign w:val="bottom"/>
            <w:hideMark/>
          </w:tcPr>
          <w:p w14:paraId="72FA10DE"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18</w:t>
            </w:r>
          </w:p>
        </w:tc>
        <w:tc>
          <w:tcPr>
            <w:tcW w:w="3418" w:type="dxa"/>
            <w:tcBorders>
              <w:top w:val="nil"/>
              <w:left w:val="nil"/>
              <w:bottom w:val="single" w:sz="4" w:space="0" w:color="auto"/>
              <w:right w:val="single" w:sz="4" w:space="0" w:color="auto"/>
            </w:tcBorders>
            <w:vAlign w:val="bottom"/>
            <w:hideMark/>
          </w:tcPr>
          <w:p w14:paraId="7E65FF1E"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Performing loans to financial institutions secured by non - Level 1 HQLA and unsecured performing loans to financial institutions </w:t>
            </w:r>
          </w:p>
        </w:tc>
        <w:tc>
          <w:tcPr>
            <w:tcW w:w="992" w:type="dxa"/>
            <w:tcBorders>
              <w:top w:val="single" w:sz="4" w:space="0" w:color="auto"/>
              <w:left w:val="nil"/>
              <w:bottom w:val="single" w:sz="4" w:space="0" w:color="auto"/>
              <w:right w:val="single" w:sz="4" w:space="0" w:color="auto"/>
            </w:tcBorders>
            <w:noWrap/>
            <w:vAlign w:val="center"/>
            <w:hideMark/>
          </w:tcPr>
          <w:p w14:paraId="29F92673" w14:textId="591BE352"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single" w:sz="4" w:space="0" w:color="auto"/>
              <w:left w:val="nil"/>
              <w:bottom w:val="single" w:sz="4" w:space="0" w:color="auto"/>
              <w:right w:val="single" w:sz="4" w:space="0" w:color="auto"/>
            </w:tcBorders>
            <w:noWrap/>
            <w:vAlign w:val="center"/>
            <w:hideMark/>
          </w:tcPr>
          <w:p w14:paraId="5644C9B1" w14:textId="1CF15640"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single" w:sz="4" w:space="0" w:color="auto"/>
              <w:left w:val="nil"/>
              <w:bottom w:val="single" w:sz="4" w:space="0" w:color="auto"/>
              <w:right w:val="single" w:sz="4" w:space="0" w:color="auto"/>
            </w:tcBorders>
            <w:noWrap/>
            <w:vAlign w:val="center"/>
            <w:hideMark/>
          </w:tcPr>
          <w:p w14:paraId="27FA62D2" w14:textId="562040BA"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noWrap/>
            <w:vAlign w:val="center"/>
            <w:hideMark/>
          </w:tcPr>
          <w:p w14:paraId="4BADCBC2" w14:textId="3334FFB7"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080" w:type="dxa"/>
            <w:tcBorders>
              <w:top w:val="nil"/>
              <w:left w:val="nil"/>
              <w:bottom w:val="single" w:sz="4" w:space="0" w:color="auto"/>
              <w:right w:val="single" w:sz="8" w:space="0" w:color="auto"/>
            </w:tcBorders>
            <w:noWrap/>
            <w:vAlign w:val="center"/>
            <w:hideMark/>
          </w:tcPr>
          <w:p w14:paraId="656EB787" w14:textId="0599A785"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r>
      <w:tr w:rsidR="00D53E14" w:rsidRPr="00DE68A1" w14:paraId="220E44B8" w14:textId="77777777" w:rsidTr="000C403F">
        <w:trPr>
          <w:trHeight w:val="592"/>
        </w:trPr>
        <w:tc>
          <w:tcPr>
            <w:tcW w:w="400" w:type="dxa"/>
            <w:tcBorders>
              <w:top w:val="nil"/>
              <w:left w:val="single" w:sz="8" w:space="0" w:color="auto"/>
              <w:bottom w:val="single" w:sz="4" w:space="0" w:color="auto"/>
              <w:right w:val="single" w:sz="4" w:space="0" w:color="auto"/>
            </w:tcBorders>
            <w:noWrap/>
            <w:vAlign w:val="bottom"/>
            <w:hideMark/>
          </w:tcPr>
          <w:p w14:paraId="4B7848A6"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19</w:t>
            </w:r>
          </w:p>
        </w:tc>
        <w:tc>
          <w:tcPr>
            <w:tcW w:w="3418" w:type="dxa"/>
            <w:tcBorders>
              <w:top w:val="nil"/>
              <w:left w:val="nil"/>
              <w:bottom w:val="single" w:sz="4" w:space="0" w:color="auto"/>
              <w:right w:val="single" w:sz="4" w:space="0" w:color="auto"/>
            </w:tcBorders>
            <w:vAlign w:val="bottom"/>
            <w:hideMark/>
          </w:tcPr>
          <w:p w14:paraId="6087ED3B" w14:textId="7F9F4A45"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Performing loans to </w:t>
            </w:r>
            <w:r w:rsidR="001B4EC2" w:rsidRPr="00DE68A1">
              <w:rPr>
                <w:rFonts w:asciiTheme="minorHAnsi" w:hAnsiTheme="minorHAnsi" w:cstheme="minorHAnsi"/>
                <w:color w:val="000000"/>
                <w:sz w:val="18"/>
                <w:szCs w:val="18"/>
              </w:rPr>
              <w:t>non-</w:t>
            </w:r>
            <w:r w:rsidRPr="00DE68A1">
              <w:rPr>
                <w:rFonts w:asciiTheme="minorHAnsi" w:hAnsiTheme="minorHAnsi" w:cstheme="minorHAnsi"/>
                <w:color w:val="000000"/>
                <w:sz w:val="18"/>
                <w:szCs w:val="18"/>
              </w:rPr>
              <w:t>financial corporate clients, loans to retail and small business customers, and loans to sovereigns, central banks and PSEs,</w:t>
            </w:r>
            <w:r w:rsidR="001B4EC2">
              <w:rPr>
                <w:rFonts w:asciiTheme="minorHAnsi" w:hAnsiTheme="minorHAnsi" w:cstheme="minorHAnsi"/>
                <w:color w:val="000000"/>
                <w:sz w:val="18"/>
                <w:szCs w:val="18"/>
              </w:rPr>
              <w:t xml:space="preserve"> </w:t>
            </w:r>
            <w:r w:rsidRPr="00DE68A1">
              <w:rPr>
                <w:rFonts w:asciiTheme="minorHAnsi" w:hAnsiTheme="minorHAnsi" w:cstheme="minorHAnsi"/>
                <w:color w:val="000000"/>
                <w:sz w:val="18"/>
                <w:szCs w:val="18"/>
              </w:rPr>
              <w:t xml:space="preserve">of which: </w:t>
            </w:r>
          </w:p>
        </w:tc>
        <w:tc>
          <w:tcPr>
            <w:tcW w:w="992" w:type="dxa"/>
            <w:tcBorders>
              <w:top w:val="single" w:sz="4" w:space="0" w:color="808080"/>
              <w:left w:val="single" w:sz="4" w:space="0" w:color="808080"/>
              <w:bottom w:val="single" w:sz="4" w:space="0" w:color="808080"/>
              <w:right w:val="single" w:sz="4" w:space="0" w:color="808080"/>
            </w:tcBorders>
            <w:shd w:val="clear" w:color="FFFFFF" w:fill="FFFFFF"/>
            <w:noWrap/>
            <w:vAlign w:val="center"/>
            <w:hideMark/>
          </w:tcPr>
          <w:p w14:paraId="59A4E3F9" w14:textId="4684C2FB" w:rsidR="00D53E14" w:rsidRPr="00DE68A1" w:rsidRDefault="00D53E14" w:rsidP="00D53E14">
            <w:pPr>
              <w:bidi w:val="0"/>
              <w:jc w:val="center"/>
              <w:rPr>
                <w:rFonts w:asciiTheme="minorHAnsi" w:hAnsiTheme="minorHAnsi" w:cstheme="minorHAnsi"/>
                <w:color w:val="333333"/>
                <w:sz w:val="18"/>
                <w:szCs w:val="18"/>
              </w:rPr>
            </w:pPr>
            <w:r w:rsidRPr="00DE68A1">
              <w:rPr>
                <w:rFonts w:ascii="Arial" w:hAnsi="Arial" w:cs="Arial"/>
                <w:color w:val="333333"/>
                <w:sz w:val="18"/>
                <w:szCs w:val="18"/>
              </w:rPr>
              <w:t>545</w:t>
            </w:r>
          </w:p>
        </w:tc>
        <w:tc>
          <w:tcPr>
            <w:tcW w:w="1134" w:type="dxa"/>
            <w:tcBorders>
              <w:top w:val="single" w:sz="4" w:space="0" w:color="808080"/>
              <w:left w:val="nil"/>
              <w:bottom w:val="single" w:sz="4" w:space="0" w:color="808080"/>
              <w:right w:val="single" w:sz="4" w:space="0" w:color="808080"/>
            </w:tcBorders>
            <w:shd w:val="clear" w:color="FFFFFF" w:fill="FFFFFF"/>
            <w:noWrap/>
            <w:vAlign w:val="center"/>
            <w:hideMark/>
          </w:tcPr>
          <w:p w14:paraId="25CAA4BF" w14:textId="6E38F464" w:rsidR="00D53E14" w:rsidRPr="00DE68A1" w:rsidRDefault="00D53E14" w:rsidP="00D53E14">
            <w:pPr>
              <w:bidi w:val="0"/>
              <w:jc w:val="center"/>
              <w:rPr>
                <w:rFonts w:asciiTheme="minorHAnsi" w:hAnsiTheme="minorHAnsi" w:cstheme="minorHAnsi"/>
                <w:color w:val="333333"/>
                <w:sz w:val="18"/>
                <w:szCs w:val="18"/>
              </w:rPr>
            </w:pPr>
            <w:r w:rsidRPr="00DE68A1">
              <w:rPr>
                <w:rFonts w:ascii="Arial" w:hAnsi="Arial" w:cs="Arial"/>
                <w:color w:val="333333"/>
                <w:sz w:val="18"/>
                <w:szCs w:val="18"/>
              </w:rPr>
              <w:t>54,304</w:t>
            </w:r>
          </w:p>
        </w:tc>
        <w:tc>
          <w:tcPr>
            <w:tcW w:w="1134" w:type="dxa"/>
            <w:tcBorders>
              <w:top w:val="single" w:sz="4" w:space="0" w:color="808080"/>
              <w:left w:val="nil"/>
              <w:bottom w:val="single" w:sz="4" w:space="0" w:color="808080"/>
              <w:right w:val="single" w:sz="4" w:space="0" w:color="808080"/>
            </w:tcBorders>
            <w:shd w:val="clear" w:color="FFFFFF" w:fill="FFFFFF"/>
            <w:noWrap/>
            <w:vAlign w:val="center"/>
            <w:hideMark/>
          </w:tcPr>
          <w:p w14:paraId="6A1EEC54" w14:textId="1A049F09" w:rsidR="00D53E14" w:rsidRPr="00DE68A1" w:rsidRDefault="00D53E14" w:rsidP="00D53E14">
            <w:pPr>
              <w:bidi w:val="0"/>
              <w:jc w:val="center"/>
              <w:rPr>
                <w:rFonts w:asciiTheme="minorHAnsi" w:hAnsiTheme="minorHAnsi" w:cstheme="minorHAnsi"/>
                <w:color w:val="333333"/>
                <w:sz w:val="18"/>
                <w:szCs w:val="18"/>
              </w:rPr>
            </w:pPr>
            <w:r w:rsidRPr="00DE68A1">
              <w:rPr>
                <w:rFonts w:ascii="Arial" w:hAnsi="Arial" w:cs="Arial"/>
                <w:color w:val="333333"/>
                <w:sz w:val="18"/>
                <w:szCs w:val="18"/>
              </w:rPr>
              <w:t>92,474</w:t>
            </w:r>
          </w:p>
        </w:tc>
        <w:tc>
          <w:tcPr>
            <w:tcW w:w="992" w:type="dxa"/>
            <w:tcBorders>
              <w:top w:val="single" w:sz="4" w:space="0" w:color="808080"/>
              <w:left w:val="nil"/>
              <w:bottom w:val="single" w:sz="4" w:space="0" w:color="808080"/>
              <w:right w:val="single" w:sz="8" w:space="0" w:color="000000"/>
            </w:tcBorders>
            <w:shd w:val="clear" w:color="FFFFFF" w:fill="FFFFFF"/>
            <w:noWrap/>
            <w:vAlign w:val="center"/>
            <w:hideMark/>
          </w:tcPr>
          <w:p w14:paraId="3F5D5484" w14:textId="7DF599B6" w:rsidR="00D53E14" w:rsidRPr="00DE68A1" w:rsidRDefault="00D53E14" w:rsidP="00D53E14">
            <w:pPr>
              <w:bidi w:val="0"/>
              <w:jc w:val="center"/>
              <w:rPr>
                <w:rFonts w:asciiTheme="minorHAnsi" w:hAnsiTheme="minorHAnsi" w:cstheme="minorHAnsi"/>
                <w:color w:val="333333"/>
                <w:sz w:val="18"/>
                <w:szCs w:val="18"/>
              </w:rPr>
            </w:pPr>
            <w:r w:rsidRPr="00DE68A1">
              <w:rPr>
                <w:rFonts w:ascii="Arial" w:hAnsi="Arial" w:cs="Arial"/>
                <w:color w:val="333333"/>
                <w:sz w:val="18"/>
                <w:szCs w:val="18"/>
              </w:rPr>
              <w:t>185,07</w:t>
            </w:r>
            <w:r>
              <w:rPr>
                <w:rFonts w:ascii="Arial" w:hAnsi="Arial" w:cs="Arial"/>
                <w:color w:val="333333"/>
                <w:sz w:val="18"/>
                <w:szCs w:val="18"/>
              </w:rPr>
              <w:t>3</w:t>
            </w:r>
          </w:p>
        </w:tc>
        <w:tc>
          <w:tcPr>
            <w:tcW w:w="1080" w:type="dxa"/>
            <w:tcBorders>
              <w:top w:val="single" w:sz="4" w:space="0" w:color="808080"/>
              <w:left w:val="single" w:sz="4" w:space="0" w:color="808080"/>
              <w:bottom w:val="single" w:sz="4" w:space="0" w:color="808080"/>
              <w:right w:val="single" w:sz="8" w:space="0" w:color="000000"/>
            </w:tcBorders>
            <w:shd w:val="clear" w:color="FFFFFF" w:fill="FFFFFF"/>
            <w:noWrap/>
            <w:vAlign w:val="center"/>
            <w:hideMark/>
          </w:tcPr>
          <w:p w14:paraId="7A802B69" w14:textId="697C94A0" w:rsidR="00D53E14" w:rsidRPr="00DE68A1" w:rsidRDefault="00D53E14" w:rsidP="00D53E14">
            <w:pPr>
              <w:bidi w:val="0"/>
              <w:jc w:val="center"/>
              <w:rPr>
                <w:rFonts w:asciiTheme="minorHAnsi" w:hAnsiTheme="minorHAnsi" w:cstheme="minorHAnsi"/>
                <w:color w:val="333333"/>
                <w:sz w:val="18"/>
                <w:szCs w:val="18"/>
              </w:rPr>
            </w:pPr>
            <w:r w:rsidRPr="004B0ED6">
              <w:rPr>
                <w:rFonts w:asciiTheme="minorHAnsi" w:hAnsiTheme="minorHAnsi" w:cstheme="minorHAnsi"/>
                <w:color w:val="000000"/>
                <w:sz w:val="18"/>
                <w:szCs w:val="18"/>
              </w:rPr>
              <w:t>258,462</w:t>
            </w:r>
          </w:p>
        </w:tc>
      </w:tr>
      <w:tr w:rsidR="00D53E14" w:rsidRPr="00DE68A1" w14:paraId="132FBCBF" w14:textId="77777777" w:rsidTr="000C403F">
        <w:trPr>
          <w:trHeight w:val="396"/>
        </w:trPr>
        <w:tc>
          <w:tcPr>
            <w:tcW w:w="400" w:type="dxa"/>
            <w:tcBorders>
              <w:top w:val="nil"/>
              <w:left w:val="single" w:sz="8" w:space="0" w:color="auto"/>
              <w:bottom w:val="single" w:sz="4" w:space="0" w:color="auto"/>
              <w:right w:val="single" w:sz="4" w:space="0" w:color="auto"/>
            </w:tcBorders>
            <w:noWrap/>
            <w:vAlign w:val="bottom"/>
            <w:hideMark/>
          </w:tcPr>
          <w:p w14:paraId="186F1E23"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20</w:t>
            </w:r>
          </w:p>
        </w:tc>
        <w:tc>
          <w:tcPr>
            <w:tcW w:w="3418" w:type="dxa"/>
            <w:tcBorders>
              <w:top w:val="nil"/>
              <w:left w:val="nil"/>
              <w:bottom w:val="single" w:sz="4" w:space="0" w:color="auto"/>
              <w:right w:val="single" w:sz="4" w:space="0" w:color="auto"/>
            </w:tcBorders>
            <w:vAlign w:val="bottom"/>
            <w:hideMark/>
          </w:tcPr>
          <w:p w14:paraId="79E3EFA4"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With a risk weight of less than or equal to 35% as per Capital Adequacy Ratio - Basel 3 Guidelines </w:t>
            </w:r>
          </w:p>
        </w:tc>
        <w:tc>
          <w:tcPr>
            <w:tcW w:w="992" w:type="dxa"/>
            <w:tcBorders>
              <w:top w:val="single" w:sz="4" w:space="0" w:color="auto"/>
              <w:left w:val="nil"/>
              <w:bottom w:val="single" w:sz="4" w:space="0" w:color="auto"/>
              <w:right w:val="single" w:sz="4" w:space="0" w:color="auto"/>
            </w:tcBorders>
            <w:noWrap/>
            <w:vAlign w:val="center"/>
            <w:hideMark/>
          </w:tcPr>
          <w:p w14:paraId="386D58FF" w14:textId="37B61C92"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single" w:sz="4" w:space="0" w:color="auto"/>
              <w:left w:val="nil"/>
              <w:bottom w:val="single" w:sz="4" w:space="0" w:color="auto"/>
              <w:right w:val="single" w:sz="4" w:space="0" w:color="auto"/>
            </w:tcBorders>
            <w:noWrap/>
            <w:vAlign w:val="center"/>
            <w:hideMark/>
          </w:tcPr>
          <w:p w14:paraId="55FBF033" w14:textId="321602AA"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single" w:sz="4" w:space="0" w:color="auto"/>
              <w:left w:val="nil"/>
              <w:bottom w:val="single" w:sz="4" w:space="0" w:color="auto"/>
              <w:right w:val="single" w:sz="4" w:space="0" w:color="auto"/>
            </w:tcBorders>
            <w:noWrap/>
            <w:vAlign w:val="center"/>
            <w:hideMark/>
          </w:tcPr>
          <w:p w14:paraId="3D3AABE5" w14:textId="3F37851A"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noWrap/>
            <w:vAlign w:val="center"/>
            <w:hideMark/>
          </w:tcPr>
          <w:p w14:paraId="0EE14217" w14:textId="48B6E207"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080" w:type="dxa"/>
            <w:tcBorders>
              <w:top w:val="single" w:sz="4" w:space="0" w:color="auto"/>
              <w:left w:val="nil"/>
              <w:bottom w:val="single" w:sz="4" w:space="0" w:color="auto"/>
              <w:right w:val="single" w:sz="8" w:space="0" w:color="auto"/>
            </w:tcBorders>
            <w:noWrap/>
            <w:vAlign w:val="center"/>
            <w:hideMark/>
          </w:tcPr>
          <w:p w14:paraId="72B13449" w14:textId="0F7EA64C"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r>
      <w:tr w:rsidR="00D53E14" w:rsidRPr="00DE68A1" w14:paraId="0CDD1265" w14:textId="77777777" w:rsidTr="000C403F">
        <w:trPr>
          <w:trHeight w:val="239"/>
        </w:trPr>
        <w:tc>
          <w:tcPr>
            <w:tcW w:w="400" w:type="dxa"/>
            <w:tcBorders>
              <w:top w:val="nil"/>
              <w:left w:val="single" w:sz="8" w:space="0" w:color="auto"/>
              <w:bottom w:val="single" w:sz="4" w:space="0" w:color="auto"/>
              <w:right w:val="single" w:sz="4" w:space="0" w:color="auto"/>
            </w:tcBorders>
            <w:noWrap/>
            <w:vAlign w:val="bottom"/>
            <w:hideMark/>
          </w:tcPr>
          <w:p w14:paraId="2968B857"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21</w:t>
            </w:r>
          </w:p>
        </w:tc>
        <w:tc>
          <w:tcPr>
            <w:tcW w:w="3418" w:type="dxa"/>
            <w:tcBorders>
              <w:top w:val="nil"/>
              <w:left w:val="nil"/>
              <w:bottom w:val="single" w:sz="4" w:space="0" w:color="auto"/>
              <w:right w:val="single" w:sz="4" w:space="0" w:color="auto"/>
            </w:tcBorders>
            <w:vAlign w:val="bottom"/>
            <w:hideMark/>
          </w:tcPr>
          <w:p w14:paraId="3174A9FD"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Performing residential mortgages, of which: </w:t>
            </w:r>
          </w:p>
        </w:tc>
        <w:tc>
          <w:tcPr>
            <w:tcW w:w="992" w:type="dxa"/>
            <w:tcBorders>
              <w:top w:val="nil"/>
              <w:left w:val="nil"/>
              <w:bottom w:val="single" w:sz="4" w:space="0" w:color="auto"/>
              <w:right w:val="single" w:sz="4" w:space="0" w:color="auto"/>
            </w:tcBorders>
            <w:noWrap/>
            <w:vAlign w:val="center"/>
            <w:hideMark/>
          </w:tcPr>
          <w:p w14:paraId="63AA1438" w14:textId="354F445B"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0ED682DC" w14:textId="7C763271"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5666F595" w14:textId="3736BE5F"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992" w:type="dxa"/>
            <w:tcBorders>
              <w:top w:val="nil"/>
              <w:left w:val="nil"/>
              <w:bottom w:val="single" w:sz="4" w:space="0" w:color="auto"/>
              <w:right w:val="single" w:sz="4" w:space="0" w:color="auto"/>
            </w:tcBorders>
            <w:noWrap/>
            <w:vAlign w:val="center"/>
            <w:hideMark/>
          </w:tcPr>
          <w:p w14:paraId="46E82FCB" w14:textId="005F4FE5"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080" w:type="dxa"/>
            <w:tcBorders>
              <w:top w:val="nil"/>
              <w:left w:val="nil"/>
              <w:bottom w:val="single" w:sz="4" w:space="0" w:color="auto"/>
              <w:right w:val="single" w:sz="8" w:space="0" w:color="auto"/>
            </w:tcBorders>
            <w:noWrap/>
            <w:vAlign w:val="center"/>
            <w:hideMark/>
          </w:tcPr>
          <w:p w14:paraId="547E5058" w14:textId="0B5E2CFD"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r>
      <w:tr w:rsidR="00D53E14" w:rsidRPr="00DE68A1" w14:paraId="30E8C9A0" w14:textId="77777777" w:rsidTr="000C403F">
        <w:trPr>
          <w:trHeight w:val="592"/>
        </w:trPr>
        <w:tc>
          <w:tcPr>
            <w:tcW w:w="400" w:type="dxa"/>
            <w:tcBorders>
              <w:top w:val="nil"/>
              <w:left w:val="single" w:sz="8" w:space="0" w:color="auto"/>
              <w:bottom w:val="single" w:sz="4" w:space="0" w:color="auto"/>
              <w:right w:val="single" w:sz="4" w:space="0" w:color="auto"/>
            </w:tcBorders>
            <w:noWrap/>
            <w:vAlign w:val="bottom"/>
            <w:hideMark/>
          </w:tcPr>
          <w:p w14:paraId="181758AD"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22</w:t>
            </w:r>
          </w:p>
        </w:tc>
        <w:tc>
          <w:tcPr>
            <w:tcW w:w="3418" w:type="dxa"/>
            <w:tcBorders>
              <w:top w:val="nil"/>
              <w:left w:val="nil"/>
              <w:bottom w:val="single" w:sz="4" w:space="0" w:color="auto"/>
              <w:right w:val="single" w:sz="4" w:space="0" w:color="auto"/>
            </w:tcBorders>
            <w:vAlign w:val="bottom"/>
            <w:hideMark/>
          </w:tcPr>
          <w:p w14:paraId="52B1B03A"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With a risk weight of less than or equal to 35% under CBK Capital Adequacy Ratio - Basel III Guidelines </w:t>
            </w:r>
          </w:p>
        </w:tc>
        <w:tc>
          <w:tcPr>
            <w:tcW w:w="992" w:type="dxa"/>
            <w:tcBorders>
              <w:top w:val="nil"/>
              <w:left w:val="nil"/>
              <w:bottom w:val="single" w:sz="4" w:space="0" w:color="auto"/>
              <w:right w:val="single" w:sz="4" w:space="0" w:color="auto"/>
            </w:tcBorders>
            <w:noWrap/>
            <w:vAlign w:val="center"/>
            <w:hideMark/>
          </w:tcPr>
          <w:p w14:paraId="05C27093" w14:textId="2FC8C8B4"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0F65602B" w14:textId="5993FEF5"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3F26FDE7" w14:textId="10A179C9"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992" w:type="dxa"/>
            <w:tcBorders>
              <w:top w:val="nil"/>
              <w:left w:val="nil"/>
              <w:bottom w:val="single" w:sz="4" w:space="0" w:color="auto"/>
              <w:right w:val="single" w:sz="4" w:space="0" w:color="auto"/>
            </w:tcBorders>
            <w:noWrap/>
            <w:vAlign w:val="center"/>
            <w:hideMark/>
          </w:tcPr>
          <w:p w14:paraId="55E76E2B" w14:textId="64415EEA"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080" w:type="dxa"/>
            <w:tcBorders>
              <w:top w:val="nil"/>
              <w:left w:val="nil"/>
              <w:bottom w:val="single" w:sz="4" w:space="0" w:color="auto"/>
              <w:right w:val="single" w:sz="8" w:space="0" w:color="auto"/>
            </w:tcBorders>
            <w:noWrap/>
            <w:vAlign w:val="center"/>
            <w:hideMark/>
          </w:tcPr>
          <w:p w14:paraId="2A7A4D00" w14:textId="44E077AA"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r>
      <w:tr w:rsidR="00D53E14" w:rsidRPr="00DE68A1" w14:paraId="4924EC9D" w14:textId="77777777" w:rsidTr="000C403F">
        <w:trPr>
          <w:trHeight w:val="396"/>
        </w:trPr>
        <w:tc>
          <w:tcPr>
            <w:tcW w:w="400" w:type="dxa"/>
            <w:tcBorders>
              <w:top w:val="nil"/>
              <w:left w:val="single" w:sz="8" w:space="0" w:color="auto"/>
              <w:bottom w:val="single" w:sz="4" w:space="0" w:color="auto"/>
              <w:right w:val="single" w:sz="4" w:space="0" w:color="auto"/>
            </w:tcBorders>
            <w:noWrap/>
            <w:vAlign w:val="bottom"/>
            <w:hideMark/>
          </w:tcPr>
          <w:p w14:paraId="6D8BC3AF"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lastRenderedPageBreak/>
              <w:t>23</w:t>
            </w:r>
          </w:p>
        </w:tc>
        <w:tc>
          <w:tcPr>
            <w:tcW w:w="3418" w:type="dxa"/>
            <w:tcBorders>
              <w:top w:val="nil"/>
              <w:left w:val="nil"/>
              <w:bottom w:val="single" w:sz="4" w:space="0" w:color="auto"/>
              <w:right w:val="single" w:sz="4" w:space="0" w:color="auto"/>
            </w:tcBorders>
            <w:vAlign w:val="bottom"/>
            <w:hideMark/>
          </w:tcPr>
          <w:p w14:paraId="25DEF222"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Securities that are not in default and do not quality as HQLA, including exchange - traded equities </w:t>
            </w:r>
          </w:p>
        </w:tc>
        <w:tc>
          <w:tcPr>
            <w:tcW w:w="992" w:type="dxa"/>
            <w:tcBorders>
              <w:top w:val="nil"/>
              <w:left w:val="nil"/>
              <w:bottom w:val="single" w:sz="4" w:space="0" w:color="auto"/>
              <w:right w:val="single" w:sz="4" w:space="0" w:color="auto"/>
            </w:tcBorders>
            <w:noWrap/>
            <w:vAlign w:val="center"/>
            <w:hideMark/>
          </w:tcPr>
          <w:p w14:paraId="74FBC902" w14:textId="75322101"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7A5B3694" w14:textId="056384BD"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1849B87D" w14:textId="36FE247E"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992" w:type="dxa"/>
            <w:tcBorders>
              <w:top w:val="nil"/>
              <w:left w:val="nil"/>
              <w:bottom w:val="single" w:sz="4" w:space="0" w:color="auto"/>
              <w:right w:val="single" w:sz="4" w:space="0" w:color="auto"/>
            </w:tcBorders>
            <w:noWrap/>
            <w:vAlign w:val="center"/>
            <w:hideMark/>
          </w:tcPr>
          <w:p w14:paraId="5F375C77" w14:textId="54077D2A"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080" w:type="dxa"/>
            <w:tcBorders>
              <w:top w:val="nil"/>
              <w:left w:val="nil"/>
              <w:bottom w:val="single" w:sz="4" w:space="0" w:color="auto"/>
              <w:right w:val="single" w:sz="8" w:space="0" w:color="auto"/>
            </w:tcBorders>
            <w:noWrap/>
            <w:vAlign w:val="center"/>
            <w:hideMark/>
          </w:tcPr>
          <w:p w14:paraId="69E31EE3" w14:textId="40011828"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r>
      <w:tr w:rsidR="00D53E14" w:rsidRPr="00DE68A1" w14:paraId="111890E6" w14:textId="77777777" w:rsidTr="000C403F">
        <w:trPr>
          <w:trHeight w:val="239"/>
        </w:trPr>
        <w:tc>
          <w:tcPr>
            <w:tcW w:w="400" w:type="dxa"/>
            <w:tcBorders>
              <w:top w:val="nil"/>
              <w:left w:val="single" w:sz="8" w:space="0" w:color="auto"/>
              <w:bottom w:val="single" w:sz="4" w:space="0" w:color="auto"/>
              <w:right w:val="single" w:sz="4" w:space="0" w:color="auto"/>
            </w:tcBorders>
            <w:noWrap/>
            <w:vAlign w:val="bottom"/>
            <w:hideMark/>
          </w:tcPr>
          <w:p w14:paraId="2896306F"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24</w:t>
            </w:r>
          </w:p>
        </w:tc>
        <w:tc>
          <w:tcPr>
            <w:tcW w:w="3418" w:type="dxa"/>
            <w:tcBorders>
              <w:top w:val="nil"/>
              <w:left w:val="nil"/>
              <w:bottom w:val="single" w:sz="4" w:space="0" w:color="auto"/>
              <w:right w:val="single" w:sz="4" w:space="0" w:color="auto"/>
            </w:tcBorders>
            <w:vAlign w:val="bottom"/>
            <w:hideMark/>
          </w:tcPr>
          <w:p w14:paraId="24CCCD4B"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Other Assets: </w:t>
            </w:r>
          </w:p>
        </w:tc>
        <w:tc>
          <w:tcPr>
            <w:tcW w:w="5332" w:type="dxa"/>
            <w:gridSpan w:val="5"/>
            <w:tcBorders>
              <w:top w:val="single" w:sz="4" w:space="0" w:color="auto"/>
              <w:left w:val="nil"/>
              <w:bottom w:val="single" w:sz="4" w:space="0" w:color="auto"/>
              <w:right w:val="single" w:sz="8" w:space="0" w:color="000000"/>
            </w:tcBorders>
            <w:noWrap/>
            <w:vAlign w:val="center"/>
            <w:hideMark/>
          </w:tcPr>
          <w:p w14:paraId="5FEC8E36" w14:textId="77777777"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r>
      <w:tr w:rsidR="00D53E14" w:rsidRPr="00DE68A1" w14:paraId="702FE1CE" w14:textId="77777777" w:rsidTr="000C403F">
        <w:trPr>
          <w:trHeight w:val="239"/>
        </w:trPr>
        <w:tc>
          <w:tcPr>
            <w:tcW w:w="400" w:type="dxa"/>
            <w:tcBorders>
              <w:top w:val="nil"/>
              <w:left w:val="single" w:sz="8" w:space="0" w:color="auto"/>
              <w:bottom w:val="single" w:sz="4" w:space="0" w:color="auto"/>
              <w:right w:val="single" w:sz="4" w:space="0" w:color="auto"/>
            </w:tcBorders>
            <w:noWrap/>
            <w:vAlign w:val="bottom"/>
            <w:hideMark/>
          </w:tcPr>
          <w:p w14:paraId="767B94E1"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25</w:t>
            </w:r>
          </w:p>
        </w:tc>
        <w:tc>
          <w:tcPr>
            <w:tcW w:w="3418" w:type="dxa"/>
            <w:tcBorders>
              <w:top w:val="nil"/>
              <w:left w:val="nil"/>
              <w:bottom w:val="single" w:sz="4" w:space="0" w:color="auto"/>
              <w:right w:val="single" w:sz="4" w:space="0" w:color="auto"/>
            </w:tcBorders>
            <w:vAlign w:val="bottom"/>
            <w:hideMark/>
          </w:tcPr>
          <w:p w14:paraId="7E0B66F5"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Physical traded commodities, including gold </w:t>
            </w:r>
          </w:p>
        </w:tc>
        <w:tc>
          <w:tcPr>
            <w:tcW w:w="992" w:type="dxa"/>
            <w:tcBorders>
              <w:top w:val="nil"/>
              <w:left w:val="nil"/>
              <w:bottom w:val="single" w:sz="4" w:space="0" w:color="auto"/>
              <w:right w:val="single" w:sz="4" w:space="0" w:color="auto"/>
            </w:tcBorders>
            <w:noWrap/>
            <w:vAlign w:val="center"/>
            <w:hideMark/>
          </w:tcPr>
          <w:p w14:paraId="1679C283" w14:textId="18DC4377"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5827D8A8" w14:textId="1F6EF68E"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0BAF804C" w14:textId="060BED82"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992" w:type="dxa"/>
            <w:tcBorders>
              <w:top w:val="nil"/>
              <w:left w:val="nil"/>
              <w:bottom w:val="single" w:sz="4" w:space="0" w:color="auto"/>
              <w:right w:val="single" w:sz="4" w:space="0" w:color="auto"/>
            </w:tcBorders>
            <w:noWrap/>
            <w:vAlign w:val="center"/>
            <w:hideMark/>
          </w:tcPr>
          <w:p w14:paraId="66D9A039" w14:textId="1BCF03E7"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080" w:type="dxa"/>
            <w:tcBorders>
              <w:top w:val="nil"/>
              <w:left w:val="nil"/>
              <w:bottom w:val="single" w:sz="4" w:space="0" w:color="auto"/>
              <w:right w:val="single" w:sz="8" w:space="0" w:color="auto"/>
            </w:tcBorders>
            <w:noWrap/>
            <w:vAlign w:val="center"/>
            <w:hideMark/>
          </w:tcPr>
          <w:p w14:paraId="45E4A8E3" w14:textId="430EE057"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r>
      <w:tr w:rsidR="00D53E14" w:rsidRPr="00DE68A1" w14:paraId="726452D2" w14:textId="77777777" w:rsidTr="000C403F">
        <w:trPr>
          <w:trHeight w:val="396"/>
        </w:trPr>
        <w:tc>
          <w:tcPr>
            <w:tcW w:w="400" w:type="dxa"/>
            <w:tcBorders>
              <w:top w:val="nil"/>
              <w:left w:val="single" w:sz="8" w:space="0" w:color="auto"/>
              <w:bottom w:val="single" w:sz="4" w:space="0" w:color="auto"/>
              <w:right w:val="single" w:sz="4" w:space="0" w:color="auto"/>
            </w:tcBorders>
            <w:noWrap/>
            <w:vAlign w:val="bottom"/>
            <w:hideMark/>
          </w:tcPr>
          <w:p w14:paraId="77F697C4"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26</w:t>
            </w:r>
          </w:p>
        </w:tc>
        <w:tc>
          <w:tcPr>
            <w:tcW w:w="3418" w:type="dxa"/>
            <w:tcBorders>
              <w:top w:val="nil"/>
              <w:left w:val="nil"/>
              <w:bottom w:val="single" w:sz="4" w:space="0" w:color="auto"/>
              <w:right w:val="single" w:sz="4" w:space="0" w:color="auto"/>
            </w:tcBorders>
            <w:vAlign w:val="bottom"/>
            <w:hideMark/>
          </w:tcPr>
          <w:p w14:paraId="4A2924D3"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Assets posted as initial margin for derivative contracts and contributions to default funds of CCPs </w:t>
            </w:r>
          </w:p>
        </w:tc>
        <w:tc>
          <w:tcPr>
            <w:tcW w:w="992" w:type="dxa"/>
            <w:tcBorders>
              <w:top w:val="nil"/>
              <w:left w:val="nil"/>
              <w:bottom w:val="single" w:sz="4" w:space="0" w:color="auto"/>
              <w:right w:val="single" w:sz="4" w:space="0" w:color="auto"/>
            </w:tcBorders>
            <w:noWrap/>
            <w:vAlign w:val="center"/>
            <w:hideMark/>
          </w:tcPr>
          <w:p w14:paraId="27769EC7" w14:textId="266660FA"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0CB5EFE5" w14:textId="4C473AD4"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3AC0CF20" w14:textId="6BD8BC6B"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992" w:type="dxa"/>
            <w:tcBorders>
              <w:top w:val="nil"/>
              <w:left w:val="nil"/>
              <w:bottom w:val="single" w:sz="4" w:space="0" w:color="auto"/>
              <w:right w:val="single" w:sz="4" w:space="0" w:color="auto"/>
            </w:tcBorders>
            <w:noWrap/>
            <w:vAlign w:val="center"/>
            <w:hideMark/>
          </w:tcPr>
          <w:p w14:paraId="11D6DB8A" w14:textId="34CA6F9A"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080" w:type="dxa"/>
            <w:tcBorders>
              <w:top w:val="nil"/>
              <w:left w:val="nil"/>
              <w:bottom w:val="single" w:sz="4" w:space="0" w:color="auto"/>
              <w:right w:val="single" w:sz="8" w:space="0" w:color="auto"/>
            </w:tcBorders>
            <w:noWrap/>
            <w:vAlign w:val="center"/>
            <w:hideMark/>
          </w:tcPr>
          <w:p w14:paraId="7AB0F999" w14:textId="0EDA8BDB"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r>
      <w:tr w:rsidR="00D53E14" w:rsidRPr="00DE68A1" w14:paraId="7EE5FDDC" w14:textId="77777777" w:rsidTr="000C403F">
        <w:trPr>
          <w:trHeight w:val="239"/>
        </w:trPr>
        <w:tc>
          <w:tcPr>
            <w:tcW w:w="400" w:type="dxa"/>
            <w:tcBorders>
              <w:top w:val="nil"/>
              <w:left w:val="single" w:sz="8" w:space="0" w:color="auto"/>
              <w:bottom w:val="single" w:sz="4" w:space="0" w:color="auto"/>
              <w:right w:val="single" w:sz="4" w:space="0" w:color="auto"/>
            </w:tcBorders>
            <w:noWrap/>
            <w:vAlign w:val="bottom"/>
            <w:hideMark/>
          </w:tcPr>
          <w:p w14:paraId="0DCA4664"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27</w:t>
            </w:r>
          </w:p>
        </w:tc>
        <w:tc>
          <w:tcPr>
            <w:tcW w:w="3418" w:type="dxa"/>
            <w:tcBorders>
              <w:top w:val="nil"/>
              <w:left w:val="nil"/>
              <w:bottom w:val="single" w:sz="4" w:space="0" w:color="auto"/>
              <w:right w:val="single" w:sz="4" w:space="0" w:color="auto"/>
            </w:tcBorders>
            <w:vAlign w:val="bottom"/>
            <w:hideMark/>
          </w:tcPr>
          <w:p w14:paraId="23FB26CC"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NSFR derivative assets </w:t>
            </w:r>
          </w:p>
        </w:tc>
        <w:tc>
          <w:tcPr>
            <w:tcW w:w="992" w:type="dxa"/>
            <w:tcBorders>
              <w:top w:val="nil"/>
              <w:left w:val="nil"/>
              <w:bottom w:val="single" w:sz="4" w:space="0" w:color="auto"/>
              <w:right w:val="single" w:sz="4" w:space="0" w:color="auto"/>
            </w:tcBorders>
            <w:noWrap/>
            <w:vAlign w:val="center"/>
            <w:hideMark/>
          </w:tcPr>
          <w:p w14:paraId="750C29FC" w14:textId="5BA0BBB1"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6EB3AC7E" w14:textId="7365CCC7"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7DED5907" w14:textId="047DEE5E"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992" w:type="dxa"/>
            <w:tcBorders>
              <w:top w:val="nil"/>
              <w:left w:val="nil"/>
              <w:bottom w:val="single" w:sz="4" w:space="0" w:color="auto"/>
              <w:right w:val="single" w:sz="4" w:space="0" w:color="auto"/>
            </w:tcBorders>
            <w:noWrap/>
            <w:vAlign w:val="center"/>
            <w:hideMark/>
          </w:tcPr>
          <w:p w14:paraId="157D5A1B" w14:textId="7F9C2B2C"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080" w:type="dxa"/>
            <w:tcBorders>
              <w:top w:val="nil"/>
              <w:left w:val="nil"/>
              <w:bottom w:val="single" w:sz="4" w:space="0" w:color="auto"/>
              <w:right w:val="single" w:sz="8" w:space="0" w:color="auto"/>
            </w:tcBorders>
            <w:noWrap/>
            <w:vAlign w:val="center"/>
            <w:hideMark/>
          </w:tcPr>
          <w:p w14:paraId="04F67B54" w14:textId="72A2C96A"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r>
      <w:tr w:rsidR="00D53E14" w:rsidRPr="00DE68A1" w14:paraId="5449C41F" w14:textId="77777777" w:rsidTr="000C403F">
        <w:trPr>
          <w:trHeight w:val="396"/>
        </w:trPr>
        <w:tc>
          <w:tcPr>
            <w:tcW w:w="400" w:type="dxa"/>
            <w:tcBorders>
              <w:top w:val="nil"/>
              <w:left w:val="single" w:sz="8" w:space="0" w:color="auto"/>
              <w:bottom w:val="single" w:sz="4" w:space="0" w:color="auto"/>
              <w:right w:val="single" w:sz="4" w:space="0" w:color="auto"/>
            </w:tcBorders>
            <w:noWrap/>
            <w:vAlign w:val="bottom"/>
            <w:hideMark/>
          </w:tcPr>
          <w:p w14:paraId="5848D18A"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28</w:t>
            </w:r>
          </w:p>
        </w:tc>
        <w:tc>
          <w:tcPr>
            <w:tcW w:w="3418" w:type="dxa"/>
            <w:tcBorders>
              <w:top w:val="nil"/>
              <w:left w:val="nil"/>
              <w:bottom w:val="single" w:sz="4" w:space="0" w:color="auto"/>
              <w:right w:val="single" w:sz="4" w:space="0" w:color="auto"/>
            </w:tcBorders>
            <w:vAlign w:val="bottom"/>
            <w:hideMark/>
          </w:tcPr>
          <w:p w14:paraId="7C9B7545"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NSFR derivative liabilities before deduction of variation margin posted </w:t>
            </w:r>
          </w:p>
        </w:tc>
        <w:tc>
          <w:tcPr>
            <w:tcW w:w="992" w:type="dxa"/>
            <w:tcBorders>
              <w:top w:val="nil"/>
              <w:left w:val="nil"/>
              <w:bottom w:val="single" w:sz="4" w:space="0" w:color="auto"/>
              <w:right w:val="single" w:sz="4" w:space="0" w:color="auto"/>
            </w:tcBorders>
            <w:noWrap/>
            <w:vAlign w:val="center"/>
            <w:hideMark/>
          </w:tcPr>
          <w:p w14:paraId="72EEC59C" w14:textId="31949F54"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4D1FE117" w14:textId="61459E44"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5B0B0D17" w14:textId="6C07FF37"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992" w:type="dxa"/>
            <w:tcBorders>
              <w:top w:val="nil"/>
              <w:left w:val="nil"/>
              <w:bottom w:val="single" w:sz="4" w:space="0" w:color="auto"/>
              <w:right w:val="single" w:sz="4" w:space="0" w:color="auto"/>
            </w:tcBorders>
            <w:noWrap/>
            <w:vAlign w:val="center"/>
            <w:hideMark/>
          </w:tcPr>
          <w:p w14:paraId="52020E1C" w14:textId="13B4B7F6"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c>
          <w:tcPr>
            <w:tcW w:w="1080" w:type="dxa"/>
            <w:tcBorders>
              <w:top w:val="nil"/>
              <w:left w:val="nil"/>
              <w:bottom w:val="single" w:sz="4" w:space="0" w:color="auto"/>
              <w:right w:val="single" w:sz="8" w:space="0" w:color="auto"/>
            </w:tcBorders>
            <w:noWrap/>
            <w:vAlign w:val="center"/>
            <w:hideMark/>
          </w:tcPr>
          <w:p w14:paraId="33E43172" w14:textId="63A0D74C"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w:t>
            </w:r>
          </w:p>
        </w:tc>
      </w:tr>
      <w:tr w:rsidR="00D53E14" w:rsidRPr="00DE68A1" w14:paraId="76F44212" w14:textId="77777777" w:rsidTr="000C403F">
        <w:trPr>
          <w:trHeight w:val="239"/>
        </w:trPr>
        <w:tc>
          <w:tcPr>
            <w:tcW w:w="400" w:type="dxa"/>
            <w:tcBorders>
              <w:top w:val="nil"/>
              <w:left w:val="single" w:sz="8" w:space="0" w:color="auto"/>
              <w:bottom w:val="single" w:sz="4" w:space="0" w:color="auto"/>
              <w:right w:val="single" w:sz="4" w:space="0" w:color="auto"/>
            </w:tcBorders>
            <w:noWrap/>
            <w:vAlign w:val="bottom"/>
            <w:hideMark/>
          </w:tcPr>
          <w:p w14:paraId="2CF5ADB5"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29</w:t>
            </w:r>
          </w:p>
        </w:tc>
        <w:tc>
          <w:tcPr>
            <w:tcW w:w="3418" w:type="dxa"/>
            <w:tcBorders>
              <w:top w:val="nil"/>
              <w:left w:val="nil"/>
              <w:bottom w:val="single" w:sz="4" w:space="0" w:color="auto"/>
              <w:right w:val="single" w:sz="4" w:space="0" w:color="auto"/>
            </w:tcBorders>
            <w:vAlign w:val="bottom"/>
            <w:hideMark/>
          </w:tcPr>
          <w:p w14:paraId="6815C76D"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 All other assets not included in the above categories </w:t>
            </w:r>
          </w:p>
        </w:tc>
        <w:tc>
          <w:tcPr>
            <w:tcW w:w="992" w:type="dxa"/>
            <w:tcBorders>
              <w:top w:val="nil"/>
              <w:left w:val="nil"/>
              <w:bottom w:val="single" w:sz="4" w:space="0" w:color="auto"/>
              <w:right w:val="single" w:sz="4" w:space="0" w:color="auto"/>
            </w:tcBorders>
            <w:noWrap/>
            <w:vAlign w:val="center"/>
            <w:hideMark/>
          </w:tcPr>
          <w:p w14:paraId="26909629" w14:textId="5A3CC85B" w:rsidR="00D53E14" w:rsidRPr="00DE68A1" w:rsidRDefault="00D53E14" w:rsidP="00D53E14">
            <w:pPr>
              <w:bidi w:val="0"/>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4,741</w:t>
            </w:r>
          </w:p>
        </w:tc>
        <w:tc>
          <w:tcPr>
            <w:tcW w:w="1134" w:type="dxa"/>
            <w:tcBorders>
              <w:top w:val="single" w:sz="4" w:space="0" w:color="808080"/>
              <w:left w:val="single" w:sz="4" w:space="0" w:color="808080"/>
              <w:bottom w:val="single" w:sz="4" w:space="0" w:color="808080"/>
              <w:right w:val="single" w:sz="4" w:space="0" w:color="808080"/>
            </w:tcBorders>
            <w:shd w:val="clear" w:color="FFFFFF" w:fill="FFFFFF"/>
            <w:noWrap/>
            <w:vAlign w:val="center"/>
            <w:hideMark/>
          </w:tcPr>
          <w:p w14:paraId="13DD7C83" w14:textId="487F7A42" w:rsidR="00D53E14" w:rsidRPr="00DE68A1" w:rsidRDefault="00D53E14" w:rsidP="00D53E14">
            <w:pPr>
              <w:bidi w:val="0"/>
              <w:jc w:val="center"/>
              <w:rPr>
                <w:rFonts w:asciiTheme="minorHAnsi" w:hAnsiTheme="minorHAnsi" w:cstheme="minorHAnsi"/>
                <w:color w:val="333333"/>
                <w:sz w:val="18"/>
                <w:szCs w:val="18"/>
              </w:rPr>
            </w:pPr>
            <w:r w:rsidRPr="00754A06">
              <w:rPr>
                <w:rFonts w:asciiTheme="minorHAnsi" w:hAnsiTheme="minorHAnsi" w:cstheme="minorHAnsi"/>
                <w:color w:val="000000"/>
                <w:sz w:val="18"/>
                <w:szCs w:val="18"/>
              </w:rPr>
              <w:t>10,060</w:t>
            </w:r>
          </w:p>
        </w:tc>
        <w:tc>
          <w:tcPr>
            <w:tcW w:w="1134" w:type="dxa"/>
            <w:tcBorders>
              <w:top w:val="nil"/>
              <w:left w:val="single" w:sz="4" w:space="0" w:color="auto"/>
              <w:bottom w:val="single" w:sz="4" w:space="0" w:color="auto"/>
              <w:right w:val="single" w:sz="4" w:space="0" w:color="auto"/>
            </w:tcBorders>
            <w:noWrap/>
            <w:vAlign w:val="center"/>
            <w:hideMark/>
          </w:tcPr>
          <w:p w14:paraId="32FE6A5C" w14:textId="70DFEC1D" w:rsidR="00D53E14" w:rsidRPr="00DE68A1" w:rsidRDefault="00D53E14" w:rsidP="00D53E14">
            <w:pPr>
              <w:bidi w:val="0"/>
              <w:jc w:val="center"/>
              <w:rPr>
                <w:rFonts w:asciiTheme="minorHAnsi" w:hAnsiTheme="minorHAnsi" w:cstheme="minorHAnsi"/>
                <w:color w:val="000000"/>
                <w:sz w:val="18"/>
                <w:szCs w:val="18"/>
              </w:rPr>
            </w:pPr>
            <w:r w:rsidRPr="00DE68A1">
              <w:rPr>
                <w:rFonts w:ascii="Arial" w:hAnsi="Arial" w:cs="Arial"/>
                <w:color w:val="000000"/>
                <w:sz w:val="18"/>
                <w:szCs w:val="18"/>
              </w:rPr>
              <w:t>-</w:t>
            </w:r>
          </w:p>
        </w:tc>
        <w:tc>
          <w:tcPr>
            <w:tcW w:w="992" w:type="dxa"/>
            <w:tcBorders>
              <w:top w:val="nil"/>
              <w:left w:val="nil"/>
              <w:bottom w:val="single" w:sz="4" w:space="0" w:color="auto"/>
              <w:right w:val="single" w:sz="4" w:space="0" w:color="auto"/>
            </w:tcBorders>
            <w:noWrap/>
            <w:vAlign w:val="center"/>
            <w:hideMark/>
          </w:tcPr>
          <w:p w14:paraId="65430ACF" w14:textId="53C2BF38" w:rsidR="00D53E14" w:rsidRPr="00DE68A1" w:rsidRDefault="00D53E14" w:rsidP="00D53E14">
            <w:pPr>
              <w:bidi w:val="0"/>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188,384</w:t>
            </w:r>
          </w:p>
        </w:tc>
        <w:tc>
          <w:tcPr>
            <w:tcW w:w="1080" w:type="dxa"/>
            <w:tcBorders>
              <w:top w:val="nil"/>
              <w:left w:val="nil"/>
              <w:bottom w:val="single" w:sz="4" w:space="0" w:color="auto"/>
              <w:right w:val="single" w:sz="8" w:space="0" w:color="auto"/>
            </w:tcBorders>
            <w:noWrap/>
            <w:vAlign w:val="center"/>
            <w:hideMark/>
          </w:tcPr>
          <w:p w14:paraId="58029AAA" w14:textId="280798E6" w:rsidR="00D53E14" w:rsidRPr="00DE68A1" w:rsidRDefault="00D53E14" w:rsidP="00D53E14">
            <w:pPr>
              <w:bidi w:val="0"/>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198,15</w:t>
            </w:r>
            <w:r>
              <w:rPr>
                <w:rFonts w:asciiTheme="minorHAnsi" w:hAnsiTheme="minorHAnsi" w:cstheme="minorHAnsi"/>
                <w:color w:val="000000"/>
                <w:sz w:val="18"/>
                <w:szCs w:val="18"/>
              </w:rPr>
              <w:t>6</w:t>
            </w:r>
          </w:p>
        </w:tc>
      </w:tr>
      <w:tr w:rsidR="00D53E14" w:rsidRPr="00DE68A1" w14:paraId="16E78182" w14:textId="77777777" w:rsidTr="000C403F">
        <w:trPr>
          <w:trHeight w:val="239"/>
        </w:trPr>
        <w:tc>
          <w:tcPr>
            <w:tcW w:w="400" w:type="dxa"/>
            <w:tcBorders>
              <w:top w:val="nil"/>
              <w:left w:val="single" w:sz="8" w:space="0" w:color="auto"/>
              <w:bottom w:val="single" w:sz="4" w:space="0" w:color="auto"/>
              <w:right w:val="single" w:sz="4" w:space="0" w:color="auto"/>
            </w:tcBorders>
            <w:noWrap/>
            <w:vAlign w:val="bottom"/>
            <w:hideMark/>
          </w:tcPr>
          <w:p w14:paraId="1397B656"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30</w:t>
            </w:r>
          </w:p>
        </w:tc>
        <w:tc>
          <w:tcPr>
            <w:tcW w:w="3418" w:type="dxa"/>
            <w:tcBorders>
              <w:top w:val="nil"/>
              <w:left w:val="nil"/>
              <w:bottom w:val="single" w:sz="4" w:space="0" w:color="auto"/>
              <w:right w:val="single" w:sz="4" w:space="0" w:color="auto"/>
            </w:tcBorders>
            <w:vAlign w:val="bottom"/>
            <w:hideMark/>
          </w:tcPr>
          <w:p w14:paraId="3E3AB638"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Off - Balance Sheet Items </w:t>
            </w:r>
          </w:p>
        </w:tc>
        <w:tc>
          <w:tcPr>
            <w:tcW w:w="992" w:type="dxa"/>
            <w:tcBorders>
              <w:top w:val="nil"/>
              <w:left w:val="nil"/>
              <w:bottom w:val="single" w:sz="4" w:space="0" w:color="auto"/>
              <w:right w:val="single" w:sz="4" w:space="0" w:color="auto"/>
            </w:tcBorders>
            <w:noWrap/>
            <w:vAlign w:val="center"/>
            <w:hideMark/>
          </w:tcPr>
          <w:p w14:paraId="6D6D45ED" w14:textId="0611652D" w:rsidR="00D53E14" w:rsidRPr="00DE68A1" w:rsidRDefault="00D53E14" w:rsidP="00D53E14">
            <w:pPr>
              <w:bidi w:val="0"/>
              <w:jc w:val="center"/>
              <w:rPr>
                <w:rFonts w:asciiTheme="minorHAnsi" w:hAnsiTheme="minorHAnsi" w:cstheme="minorHAnsi"/>
                <w:color w:val="000000"/>
                <w:sz w:val="18"/>
                <w:szCs w:val="18"/>
              </w:rPr>
            </w:pPr>
            <w:r w:rsidRPr="00DE68A1">
              <w:rPr>
                <w:rFonts w:ascii="Arial" w:hAnsi="Arial" w:cs="Arial"/>
                <w:color w:val="000000"/>
                <w:sz w:val="18"/>
                <w:szCs w:val="18"/>
              </w:rPr>
              <w:t>-</w:t>
            </w:r>
          </w:p>
        </w:tc>
        <w:tc>
          <w:tcPr>
            <w:tcW w:w="1134" w:type="dxa"/>
            <w:tcBorders>
              <w:top w:val="nil"/>
              <w:left w:val="single" w:sz="4" w:space="0" w:color="808080"/>
              <w:bottom w:val="single" w:sz="4" w:space="0" w:color="808080"/>
              <w:right w:val="single" w:sz="4" w:space="0" w:color="808080"/>
            </w:tcBorders>
            <w:shd w:val="clear" w:color="FFFFFF" w:fill="FFFFFF"/>
            <w:noWrap/>
            <w:vAlign w:val="center"/>
            <w:hideMark/>
          </w:tcPr>
          <w:p w14:paraId="14208F29" w14:textId="0040290A" w:rsidR="00D53E14" w:rsidRPr="00DE68A1" w:rsidRDefault="00D53E14" w:rsidP="00D53E14">
            <w:pPr>
              <w:bidi w:val="0"/>
              <w:jc w:val="center"/>
              <w:rPr>
                <w:rFonts w:asciiTheme="minorHAnsi" w:hAnsiTheme="minorHAnsi" w:cstheme="minorHAnsi"/>
                <w:color w:val="333333"/>
                <w:sz w:val="18"/>
                <w:szCs w:val="18"/>
              </w:rPr>
            </w:pPr>
            <w:r w:rsidRPr="00830AC3">
              <w:rPr>
                <w:rFonts w:asciiTheme="minorHAnsi" w:hAnsiTheme="minorHAnsi" w:cstheme="minorHAnsi"/>
                <w:color w:val="000000"/>
                <w:sz w:val="18"/>
                <w:szCs w:val="18"/>
              </w:rPr>
              <w:t>60,80</w:t>
            </w:r>
            <w:r>
              <w:rPr>
                <w:rFonts w:asciiTheme="minorHAnsi" w:hAnsiTheme="minorHAnsi" w:cstheme="minorHAnsi"/>
                <w:color w:val="000000"/>
                <w:sz w:val="18"/>
                <w:szCs w:val="18"/>
              </w:rPr>
              <w:t>3</w:t>
            </w:r>
          </w:p>
        </w:tc>
        <w:tc>
          <w:tcPr>
            <w:tcW w:w="1134" w:type="dxa"/>
            <w:tcBorders>
              <w:top w:val="nil"/>
              <w:left w:val="single" w:sz="4" w:space="0" w:color="auto"/>
              <w:bottom w:val="single" w:sz="4" w:space="0" w:color="auto"/>
              <w:right w:val="single" w:sz="4" w:space="0" w:color="auto"/>
            </w:tcBorders>
            <w:noWrap/>
            <w:vAlign w:val="center"/>
            <w:hideMark/>
          </w:tcPr>
          <w:p w14:paraId="4020C753" w14:textId="49E86E13" w:rsidR="00D53E14" w:rsidRPr="00DE68A1" w:rsidRDefault="00D53E14" w:rsidP="00D53E14">
            <w:pPr>
              <w:bidi w:val="0"/>
              <w:jc w:val="center"/>
              <w:rPr>
                <w:rFonts w:asciiTheme="minorHAnsi" w:hAnsiTheme="minorHAnsi" w:cstheme="minorHAnsi"/>
                <w:color w:val="000000"/>
                <w:sz w:val="18"/>
                <w:szCs w:val="18"/>
              </w:rPr>
            </w:pPr>
            <w:r w:rsidRPr="00DE68A1">
              <w:rPr>
                <w:rFonts w:ascii="Arial" w:hAnsi="Arial" w:cs="Arial"/>
                <w:color w:val="000000"/>
                <w:sz w:val="18"/>
                <w:szCs w:val="18"/>
              </w:rPr>
              <w:t>-</w:t>
            </w:r>
          </w:p>
        </w:tc>
        <w:tc>
          <w:tcPr>
            <w:tcW w:w="992" w:type="dxa"/>
            <w:tcBorders>
              <w:top w:val="nil"/>
              <w:left w:val="nil"/>
              <w:bottom w:val="single" w:sz="4" w:space="0" w:color="auto"/>
              <w:right w:val="single" w:sz="4" w:space="0" w:color="auto"/>
            </w:tcBorders>
            <w:noWrap/>
            <w:vAlign w:val="center"/>
            <w:hideMark/>
          </w:tcPr>
          <w:p w14:paraId="448B942B" w14:textId="7795ABD7" w:rsidR="00D53E14" w:rsidRPr="00DE68A1" w:rsidRDefault="00D53E14" w:rsidP="00D53E14">
            <w:pPr>
              <w:bidi w:val="0"/>
              <w:jc w:val="center"/>
              <w:rPr>
                <w:rFonts w:asciiTheme="minorHAnsi" w:hAnsiTheme="minorHAnsi" w:cstheme="minorHAnsi"/>
                <w:color w:val="000000"/>
                <w:sz w:val="18"/>
                <w:szCs w:val="18"/>
              </w:rPr>
            </w:pPr>
            <w:r w:rsidRPr="00DE68A1">
              <w:rPr>
                <w:rFonts w:ascii="Arial" w:hAnsi="Arial" w:cs="Arial"/>
                <w:color w:val="000000"/>
                <w:sz w:val="18"/>
                <w:szCs w:val="18"/>
              </w:rPr>
              <w:t>-</w:t>
            </w:r>
          </w:p>
        </w:tc>
        <w:tc>
          <w:tcPr>
            <w:tcW w:w="1080" w:type="dxa"/>
            <w:tcBorders>
              <w:top w:val="nil"/>
              <w:left w:val="nil"/>
              <w:bottom w:val="single" w:sz="4" w:space="0" w:color="auto"/>
              <w:right w:val="single" w:sz="8" w:space="0" w:color="auto"/>
            </w:tcBorders>
            <w:noWrap/>
            <w:vAlign w:val="center"/>
            <w:hideMark/>
          </w:tcPr>
          <w:p w14:paraId="39C0075E" w14:textId="5B73811D" w:rsidR="00D53E14" w:rsidRPr="00DE68A1" w:rsidRDefault="00D53E14" w:rsidP="00D53E14">
            <w:pPr>
              <w:bidi w:val="0"/>
              <w:jc w:val="center"/>
              <w:rPr>
                <w:rFonts w:asciiTheme="minorHAnsi" w:hAnsiTheme="minorHAnsi" w:cstheme="minorHAnsi"/>
                <w:color w:val="000000"/>
                <w:sz w:val="18"/>
                <w:szCs w:val="18"/>
              </w:rPr>
            </w:pPr>
            <w:r w:rsidRPr="00830AC3">
              <w:rPr>
                <w:rFonts w:asciiTheme="minorHAnsi" w:hAnsiTheme="minorHAnsi" w:cstheme="minorHAnsi"/>
                <w:color w:val="000000"/>
                <w:sz w:val="18"/>
                <w:szCs w:val="18"/>
              </w:rPr>
              <w:t xml:space="preserve"> 3,040</w:t>
            </w:r>
          </w:p>
        </w:tc>
      </w:tr>
      <w:tr w:rsidR="00D53E14" w:rsidRPr="00DE68A1" w14:paraId="588A0E18" w14:textId="77777777" w:rsidTr="000C403F">
        <w:trPr>
          <w:trHeight w:val="253"/>
        </w:trPr>
        <w:tc>
          <w:tcPr>
            <w:tcW w:w="400" w:type="dxa"/>
            <w:tcBorders>
              <w:top w:val="nil"/>
              <w:left w:val="single" w:sz="8" w:space="0" w:color="auto"/>
              <w:bottom w:val="nil"/>
              <w:right w:val="single" w:sz="4" w:space="0" w:color="auto"/>
            </w:tcBorders>
            <w:noWrap/>
            <w:vAlign w:val="bottom"/>
            <w:hideMark/>
          </w:tcPr>
          <w:p w14:paraId="4A602255" w14:textId="77777777" w:rsidR="00D53E14" w:rsidRPr="00DE68A1" w:rsidRDefault="00D53E14" w:rsidP="00D53E14">
            <w:pPr>
              <w:bidi w:val="0"/>
              <w:jc w:val="right"/>
              <w:rPr>
                <w:rFonts w:asciiTheme="minorHAnsi" w:hAnsiTheme="minorHAnsi" w:cstheme="minorHAnsi"/>
                <w:color w:val="000000"/>
                <w:sz w:val="18"/>
                <w:szCs w:val="18"/>
              </w:rPr>
            </w:pPr>
            <w:r w:rsidRPr="00DE68A1">
              <w:rPr>
                <w:rFonts w:asciiTheme="minorHAnsi" w:hAnsiTheme="minorHAnsi" w:cstheme="minorHAnsi"/>
                <w:color w:val="000000"/>
                <w:sz w:val="18"/>
                <w:szCs w:val="18"/>
              </w:rPr>
              <w:t>31</w:t>
            </w:r>
          </w:p>
        </w:tc>
        <w:tc>
          <w:tcPr>
            <w:tcW w:w="3418" w:type="dxa"/>
            <w:tcBorders>
              <w:top w:val="nil"/>
              <w:left w:val="nil"/>
              <w:bottom w:val="nil"/>
              <w:right w:val="single" w:sz="4" w:space="0" w:color="auto"/>
            </w:tcBorders>
            <w:vAlign w:val="bottom"/>
            <w:hideMark/>
          </w:tcPr>
          <w:p w14:paraId="6511E301" w14:textId="77777777" w:rsidR="00D53E14" w:rsidRPr="00DE68A1" w:rsidRDefault="00D53E14" w:rsidP="00D53E14">
            <w:pPr>
              <w:bidi w:val="0"/>
              <w:rPr>
                <w:rFonts w:asciiTheme="minorHAnsi" w:hAnsiTheme="minorHAnsi" w:cstheme="minorHAnsi"/>
                <w:color w:val="000000"/>
                <w:sz w:val="18"/>
                <w:szCs w:val="18"/>
              </w:rPr>
            </w:pPr>
            <w:r w:rsidRPr="00DE68A1">
              <w:rPr>
                <w:rFonts w:asciiTheme="minorHAnsi" w:hAnsiTheme="minorHAnsi" w:cstheme="minorHAnsi"/>
                <w:color w:val="000000"/>
                <w:sz w:val="18"/>
                <w:szCs w:val="18"/>
              </w:rPr>
              <w:t xml:space="preserve"> Total RSF </w:t>
            </w:r>
          </w:p>
        </w:tc>
        <w:tc>
          <w:tcPr>
            <w:tcW w:w="992" w:type="dxa"/>
            <w:tcBorders>
              <w:top w:val="nil"/>
              <w:left w:val="nil"/>
              <w:bottom w:val="nil"/>
              <w:right w:val="single" w:sz="4" w:space="0" w:color="auto"/>
            </w:tcBorders>
            <w:noWrap/>
            <w:vAlign w:val="center"/>
            <w:hideMark/>
          </w:tcPr>
          <w:p w14:paraId="7A3E8C2E" w14:textId="2723FA82" w:rsidR="00D53E14" w:rsidRPr="00DE68A1" w:rsidRDefault="00D53E14" w:rsidP="00D53E14">
            <w:pPr>
              <w:bidi w:val="0"/>
              <w:jc w:val="center"/>
              <w:rPr>
                <w:rFonts w:asciiTheme="minorHAnsi" w:hAnsiTheme="minorHAnsi" w:cstheme="minorHAnsi"/>
                <w:color w:val="000000"/>
                <w:sz w:val="18"/>
                <w:szCs w:val="18"/>
              </w:rPr>
            </w:pPr>
            <w:r w:rsidRPr="009C68E9">
              <w:rPr>
                <w:rFonts w:asciiTheme="minorHAnsi" w:hAnsiTheme="minorHAnsi" w:cstheme="minorHAnsi"/>
                <w:b/>
                <w:bCs/>
                <w:color w:val="000000"/>
                <w:sz w:val="18"/>
                <w:szCs w:val="18"/>
              </w:rPr>
              <w:t>88,510</w:t>
            </w:r>
          </w:p>
        </w:tc>
        <w:tc>
          <w:tcPr>
            <w:tcW w:w="1134" w:type="dxa"/>
            <w:tcBorders>
              <w:top w:val="single" w:sz="4" w:space="0" w:color="auto"/>
              <w:left w:val="nil"/>
              <w:bottom w:val="nil"/>
              <w:right w:val="single" w:sz="4" w:space="0" w:color="auto"/>
            </w:tcBorders>
            <w:noWrap/>
            <w:vAlign w:val="center"/>
            <w:hideMark/>
          </w:tcPr>
          <w:p w14:paraId="4C94B35A" w14:textId="190759E7" w:rsidR="00D53E14" w:rsidRPr="00DE68A1" w:rsidRDefault="00D53E14" w:rsidP="00D53E14">
            <w:pPr>
              <w:bidi w:val="0"/>
              <w:jc w:val="center"/>
              <w:rPr>
                <w:rFonts w:asciiTheme="minorHAnsi" w:hAnsiTheme="minorHAnsi" w:cstheme="minorHAnsi"/>
                <w:color w:val="000000"/>
                <w:sz w:val="18"/>
                <w:szCs w:val="18"/>
              </w:rPr>
            </w:pPr>
            <w:r w:rsidRPr="009C68E9">
              <w:rPr>
                <w:rFonts w:asciiTheme="minorHAnsi" w:hAnsiTheme="minorHAnsi" w:cstheme="minorHAnsi"/>
                <w:b/>
                <w:bCs/>
                <w:color w:val="000000"/>
                <w:sz w:val="18"/>
                <w:szCs w:val="18"/>
              </w:rPr>
              <w:t>308,467</w:t>
            </w:r>
          </w:p>
        </w:tc>
        <w:tc>
          <w:tcPr>
            <w:tcW w:w="1134" w:type="dxa"/>
            <w:tcBorders>
              <w:top w:val="nil"/>
              <w:left w:val="nil"/>
              <w:bottom w:val="nil"/>
              <w:right w:val="single" w:sz="4" w:space="0" w:color="auto"/>
            </w:tcBorders>
            <w:noWrap/>
            <w:vAlign w:val="center"/>
            <w:hideMark/>
          </w:tcPr>
          <w:p w14:paraId="7FB15A3C" w14:textId="2026F2AA" w:rsidR="00D53E14" w:rsidRPr="00DE68A1" w:rsidRDefault="00D53E14" w:rsidP="00D53E14">
            <w:pPr>
              <w:bidi w:val="0"/>
              <w:jc w:val="center"/>
              <w:rPr>
                <w:rFonts w:asciiTheme="minorHAnsi" w:hAnsiTheme="minorHAnsi" w:cstheme="minorHAnsi"/>
                <w:color w:val="000000"/>
                <w:sz w:val="18"/>
                <w:szCs w:val="18"/>
              </w:rPr>
            </w:pPr>
            <w:r w:rsidRPr="009C68E9">
              <w:rPr>
                <w:rFonts w:asciiTheme="minorHAnsi" w:hAnsiTheme="minorHAnsi" w:cstheme="minorHAnsi"/>
                <w:b/>
                <w:bCs/>
                <w:color w:val="000000"/>
                <w:sz w:val="18"/>
                <w:szCs w:val="18"/>
              </w:rPr>
              <w:t>195,474</w:t>
            </w:r>
          </w:p>
        </w:tc>
        <w:tc>
          <w:tcPr>
            <w:tcW w:w="992" w:type="dxa"/>
            <w:tcBorders>
              <w:top w:val="nil"/>
              <w:left w:val="nil"/>
              <w:bottom w:val="nil"/>
              <w:right w:val="single" w:sz="4" w:space="0" w:color="auto"/>
            </w:tcBorders>
            <w:noWrap/>
            <w:vAlign w:val="center"/>
            <w:hideMark/>
          </w:tcPr>
          <w:p w14:paraId="51DFA822" w14:textId="28369A48" w:rsidR="00D53E14" w:rsidRPr="00DE68A1" w:rsidRDefault="00D53E14" w:rsidP="00D53E14">
            <w:pPr>
              <w:bidi w:val="0"/>
              <w:jc w:val="center"/>
              <w:rPr>
                <w:rFonts w:asciiTheme="minorHAnsi" w:hAnsiTheme="minorHAnsi" w:cstheme="minorHAnsi"/>
                <w:color w:val="000000"/>
                <w:sz w:val="18"/>
                <w:szCs w:val="18"/>
              </w:rPr>
            </w:pPr>
            <w:r w:rsidRPr="009C68E9">
              <w:rPr>
                <w:rFonts w:asciiTheme="minorHAnsi" w:hAnsiTheme="minorHAnsi" w:cstheme="minorHAnsi"/>
                <w:b/>
                <w:bCs/>
                <w:color w:val="000000"/>
                <w:sz w:val="18"/>
                <w:szCs w:val="18"/>
              </w:rPr>
              <w:t>373,457</w:t>
            </w:r>
          </w:p>
        </w:tc>
        <w:tc>
          <w:tcPr>
            <w:tcW w:w="1080" w:type="dxa"/>
            <w:tcBorders>
              <w:top w:val="nil"/>
              <w:left w:val="nil"/>
              <w:bottom w:val="nil"/>
              <w:right w:val="single" w:sz="4" w:space="0" w:color="auto"/>
            </w:tcBorders>
            <w:noWrap/>
            <w:vAlign w:val="center"/>
            <w:hideMark/>
          </w:tcPr>
          <w:p w14:paraId="0C41EF68" w14:textId="34145219" w:rsidR="00D53E14" w:rsidRPr="00DE68A1" w:rsidRDefault="00D53E14" w:rsidP="00D53E14">
            <w:pPr>
              <w:bidi w:val="0"/>
              <w:jc w:val="center"/>
              <w:rPr>
                <w:rFonts w:asciiTheme="minorHAnsi" w:hAnsiTheme="minorHAnsi" w:cstheme="minorHAnsi"/>
                <w:color w:val="000000"/>
                <w:sz w:val="18"/>
                <w:szCs w:val="18"/>
              </w:rPr>
            </w:pPr>
            <w:r w:rsidRPr="009C68E9">
              <w:rPr>
                <w:rFonts w:asciiTheme="minorHAnsi" w:hAnsiTheme="minorHAnsi" w:cstheme="minorHAnsi"/>
                <w:b/>
                <w:bCs/>
                <w:color w:val="000000"/>
                <w:sz w:val="18"/>
                <w:szCs w:val="18"/>
              </w:rPr>
              <w:t>533,038</w:t>
            </w:r>
          </w:p>
        </w:tc>
      </w:tr>
      <w:tr w:rsidR="00D53E14" w:rsidRPr="00DE68A1" w14:paraId="6760FC08" w14:textId="77777777" w:rsidTr="000C403F">
        <w:trPr>
          <w:trHeight w:val="253"/>
        </w:trPr>
        <w:tc>
          <w:tcPr>
            <w:tcW w:w="400" w:type="dxa"/>
            <w:tcBorders>
              <w:top w:val="single" w:sz="8" w:space="0" w:color="auto"/>
              <w:left w:val="single" w:sz="8" w:space="0" w:color="auto"/>
              <w:bottom w:val="single" w:sz="8" w:space="0" w:color="auto"/>
              <w:right w:val="nil"/>
            </w:tcBorders>
            <w:noWrap/>
            <w:vAlign w:val="bottom"/>
            <w:hideMark/>
          </w:tcPr>
          <w:p w14:paraId="434B9A17" w14:textId="77777777" w:rsidR="00D53E14" w:rsidRPr="00DE68A1" w:rsidRDefault="00D53E14" w:rsidP="00D53E14">
            <w:pPr>
              <w:bidi w:val="0"/>
              <w:jc w:val="right"/>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32</w:t>
            </w:r>
          </w:p>
        </w:tc>
        <w:tc>
          <w:tcPr>
            <w:tcW w:w="3418" w:type="dxa"/>
            <w:tcBorders>
              <w:top w:val="single" w:sz="8" w:space="0" w:color="auto"/>
              <w:left w:val="single" w:sz="8" w:space="0" w:color="auto"/>
              <w:bottom w:val="single" w:sz="8" w:space="0" w:color="auto"/>
              <w:right w:val="single" w:sz="4" w:space="0" w:color="auto"/>
            </w:tcBorders>
            <w:vAlign w:val="bottom"/>
            <w:hideMark/>
          </w:tcPr>
          <w:p w14:paraId="4663495C" w14:textId="77777777" w:rsidR="00D53E14" w:rsidRPr="00DE68A1" w:rsidRDefault="00D53E14" w:rsidP="00D53E14">
            <w:pPr>
              <w:bidi w:val="0"/>
              <w:rPr>
                <w:rFonts w:asciiTheme="minorHAnsi" w:hAnsiTheme="minorHAnsi" w:cstheme="minorHAnsi"/>
                <w:b/>
                <w:bCs/>
                <w:color w:val="000000"/>
                <w:sz w:val="18"/>
                <w:szCs w:val="18"/>
              </w:rPr>
            </w:pPr>
            <w:r w:rsidRPr="00DE68A1">
              <w:rPr>
                <w:rFonts w:asciiTheme="minorHAnsi" w:hAnsiTheme="minorHAnsi" w:cstheme="minorHAnsi"/>
                <w:b/>
                <w:bCs/>
                <w:color w:val="000000"/>
                <w:sz w:val="18"/>
                <w:szCs w:val="18"/>
              </w:rPr>
              <w:t>NSFR (%)</w:t>
            </w:r>
          </w:p>
        </w:tc>
        <w:tc>
          <w:tcPr>
            <w:tcW w:w="992" w:type="dxa"/>
            <w:tcBorders>
              <w:top w:val="single" w:sz="8" w:space="0" w:color="auto"/>
              <w:left w:val="nil"/>
              <w:bottom w:val="single" w:sz="8" w:space="0" w:color="auto"/>
              <w:right w:val="single" w:sz="4" w:space="0" w:color="auto"/>
            </w:tcBorders>
            <w:noWrap/>
            <w:vAlign w:val="center"/>
            <w:hideMark/>
          </w:tcPr>
          <w:p w14:paraId="6A022290" w14:textId="77777777"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1134" w:type="dxa"/>
            <w:tcBorders>
              <w:top w:val="single" w:sz="8" w:space="0" w:color="auto"/>
              <w:left w:val="nil"/>
              <w:bottom w:val="single" w:sz="8" w:space="0" w:color="auto"/>
              <w:right w:val="single" w:sz="4" w:space="0" w:color="auto"/>
            </w:tcBorders>
            <w:noWrap/>
            <w:vAlign w:val="center"/>
            <w:hideMark/>
          </w:tcPr>
          <w:p w14:paraId="6EF4EDD7" w14:textId="77777777"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1134" w:type="dxa"/>
            <w:tcBorders>
              <w:top w:val="single" w:sz="8" w:space="0" w:color="auto"/>
              <w:left w:val="nil"/>
              <w:bottom w:val="single" w:sz="8" w:space="0" w:color="auto"/>
              <w:right w:val="single" w:sz="4" w:space="0" w:color="auto"/>
            </w:tcBorders>
            <w:noWrap/>
            <w:vAlign w:val="center"/>
            <w:hideMark/>
          </w:tcPr>
          <w:p w14:paraId="455530CA" w14:textId="77777777"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992" w:type="dxa"/>
            <w:tcBorders>
              <w:top w:val="single" w:sz="8" w:space="0" w:color="auto"/>
              <w:left w:val="nil"/>
              <w:bottom w:val="single" w:sz="8" w:space="0" w:color="auto"/>
              <w:right w:val="single" w:sz="4" w:space="0" w:color="auto"/>
            </w:tcBorders>
            <w:noWrap/>
            <w:vAlign w:val="center"/>
            <w:hideMark/>
          </w:tcPr>
          <w:p w14:paraId="703D8D92" w14:textId="77777777" w:rsidR="00D53E14" w:rsidRPr="00DE68A1" w:rsidRDefault="00D53E14" w:rsidP="00D53E14">
            <w:pPr>
              <w:bidi w:val="0"/>
              <w:jc w:val="center"/>
              <w:rPr>
                <w:rFonts w:asciiTheme="minorHAnsi" w:hAnsiTheme="minorHAnsi" w:cstheme="minorHAnsi"/>
                <w:color w:val="000000"/>
                <w:sz w:val="18"/>
                <w:szCs w:val="18"/>
              </w:rPr>
            </w:pPr>
            <w:r w:rsidRPr="00DE68A1">
              <w:rPr>
                <w:rFonts w:asciiTheme="minorHAnsi" w:hAnsiTheme="minorHAnsi" w:cstheme="minorHAnsi"/>
                <w:color w:val="000000"/>
                <w:sz w:val="18"/>
                <w:szCs w:val="18"/>
              </w:rPr>
              <w:t> </w:t>
            </w:r>
          </w:p>
        </w:tc>
        <w:tc>
          <w:tcPr>
            <w:tcW w:w="1080" w:type="dxa"/>
            <w:tcBorders>
              <w:top w:val="single" w:sz="8" w:space="0" w:color="auto"/>
              <w:left w:val="nil"/>
              <w:bottom w:val="single" w:sz="8" w:space="0" w:color="auto"/>
              <w:right w:val="single" w:sz="8" w:space="0" w:color="auto"/>
            </w:tcBorders>
            <w:noWrap/>
            <w:vAlign w:val="center"/>
            <w:hideMark/>
          </w:tcPr>
          <w:p w14:paraId="046D123A" w14:textId="0A9E61E0" w:rsidR="00D53E14" w:rsidRPr="00D53E14" w:rsidRDefault="00D53E14" w:rsidP="00D53E14">
            <w:pPr>
              <w:bidi w:val="0"/>
              <w:jc w:val="center"/>
              <w:rPr>
                <w:rFonts w:ascii="Arial" w:hAnsi="Arial" w:cs="Arial"/>
                <w:b/>
                <w:bCs/>
                <w:color w:val="000000"/>
                <w:sz w:val="18"/>
                <w:szCs w:val="18"/>
              </w:rPr>
            </w:pPr>
            <w:r w:rsidRPr="00DE68A1">
              <w:rPr>
                <w:rFonts w:ascii="Arial" w:hAnsi="Arial" w:cs="Arial"/>
                <w:b/>
                <w:bCs/>
                <w:color w:val="000000"/>
                <w:sz w:val="18"/>
                <w:szCs w:val="18"/>
              </w:rPr>
              <w:t>147.43%</w:t>
            </w:r>
          </w:p>
        </w:tc>
      </w:tr>
    </w:tbl>
    <w:p w14:paraId="782DB925" w14:textId="77777777" w:rsidR="00FC0E27" w:rsidRPr="00DE68A1" w:rsidRDefault="00FC0E27" w:rsidP="00FC0E27">
      <w:pPr>
        <w:bidi w:val="0"/>
        <w:rPr>
          <w:rFonts w:eastAsia="Calibri"/>
          <w:b/>
        </w:rPr>
      </w:pPr>
    </w:p>
    <w:p w14:paraId="2025606D" w14:textId="77777777" w:rsidR="00885D5D" w:rsidRPr="00DE68A1" w:rsidRDefault="00885D5D" w:rsidP="00B232BF">
      <w:pPr>
        <w:tabs>
          <w:tab w:val="left" w:pos="1785"/>
        </w:tabs>
        <w:bidi w:val="0"/>
        <w:rPr>
          <w:i/>
          <w:iCs/>
          <w:sz w:val="20"/>
          <w:szCs w:val="20"/>
        </w:rPr>
      </w:pPr>
      <w:r w:rsidRPr="00DE68A1">
        <w:rPr>
          <w:i/>
          <w:iCs/>
          <w:sz w:val="20"/>
          <w:szCs w:val="20"/>
        </w:rPr>
        <w:t>Note: Quantitative information relating to investments is availabl</w:t>
      </w:r>
      <w:r w:rsidR="00D2567F" w:rsidRPr="00DE68A1">
        <w:rPr>
          <w:i/>
          <w:iCs/>
          <w:sz w:val="20"/>
          <w:szCs w:val="20"/>
        </w:rPr>
        <w:t>e in the financial statements.</w:t>
      </w:r>
    </w:p>
    <w:p w14:paraId="54F0F390" w14:textId="77777777" w:rsidR="00F34722" w:rsidRPr="00DE68A1" w:rsidRDefault="00F34722" w:rsidP="00885D5D">
      <w:pPr>
        <w:pStyle w:val="BodyText"/>
        <w:rPr>
          <w:b/>
        </w:rPr>
      </w:pPr>
    </w:p>
    <w:p w14:paraId="53EDF8B6" w14:textId="06388235" w:rsidR="00885D5D" w:rsidRPr="00DE68A1" w:rsidRDefault="00885D5D" w:rsidP="00885D5D">
      <w:pPr>
        <w:pStyle w:val="BodyText"/>
      </w:pPr>
      <w:r w:rsidRPr="00DE68A1">
        <w:rPr>
          <w:b/>
        </w:rPr>
        <w:t>Operational Risk Management</w:t>
      </w:r>
      <w:r w:rsidRPr="00DE68A1">
        <w:t xml:space="preserve">: </w:t>
      </w:r>
    </w:p>
    <w:p w14:paraId="6B6B2DD7" w14:textId="77777777" w:rsidR="00D2567F" w:rsidRPr="00DE68A1" w:rsidRDefault="00D2567F" w:rsidP="00885D5D">
      <w:pPr>
        <w:pStyle w:val="BodyText"/>
      </w:pPr>
    </w:p>
    <w:p w14:paraId="09CA7523" w14:textId="1CA02DB5" w:rsidR="00D2567F" w:rsidRPr="00DE68A1" w:rsidRDefault="00D2567F" w:rsidP="007A7387">
      <w:pPr>
        <w:bidi w:val="0"/>
        <w:spacing w:after="200" w:line="276" w:lineRule="auto"/>
        <w:jc w:val="both"/>
        <w:rPr>
          <w:rFonts w:eastAsia="Calibri"/>
        </w:rPr>
      </w:pPr>
      <w:r w:rsidRPr="00DE68A1">
        <w:rPr>
          <w:rFonts w:eastAsia="Calibri"/>
        </w:rPr>
        <w:t>Operational risk is the risk of direct or indirect losses resulting from human factors, external events, and inadequate or failed internal processes and systems. Operational risks are inherent in the Bank</w:t>
      </w:r>
      <w:r w:rsidRPr="00DE68A1">
        <w:rPr>
          <w:rFonts w:eastAsia="Calibri" w:hint="cs"/>
        </w:rPr>
        <w:t>’</w:t>
      </w:r>
      <w:r w:rsidRPr="00DE68A1">
        <w:rPr>
          <w:rFonts w:eastAsia="Calibri"/>
        </w:rPr>
        <w:t xml:space="preserve">s operations. Major sources of operational risk </w:t>
      </w:r>
      <w:r w:rsidR="00447924" w:rsidRPr="00DE68A1">
        <w:rPr>
          <w:rFonts w:eastAsia="Calibri"/>
        </w:rPr>
        <w:t>include</w:t>
      </w:r>
      <w:r w:rsidRPr="00DE68A1">
        <w:rPr>
          <w:rFonts w:eastAsia="Calibri"/>
        </w:rPr>
        <w:t xml:space="preserve"> operational process reliability, IT security, outsourcing of operations, dependence on key suppliers, implementation of strategic change, integration of acquisitions, fraud, human error, customer service quality, regulatory compliance, recruitment, training and retention of staff, and social and environmental impacts. The Bank is committed to the identification, measurement and management of operational risks. </w:t>
      </w:r>
      <w:r w:rsidR="00132D1B" w:rsidRPr="00DE68A1">
        <w:rPr>
          <w:rFonts w:eastAsia="Calibri"/>
        </w:rPr>
        <w:t xml:space="preserve">Such risks are managed through bank-wide or line of business specific policies and procedures, controls, and monitoring tools. A critical element is the identification of business specific Key Risk Indicators (KRIs) and their monitoring across business lines. </w:t>
      </w:r>
      <w:r w:rsidR="00447924" w:rsidRPr="00DE68A1">
        <w:rPr>
          <w:rFonts w:eastAsia="Calibri"/>
        </w:rPr>
        <w:t>Risk</w:t>
      </w:r>
      <w:r w:rsidR="00132D1B" w:rsidRPr="00DE68A1">
        <w:rPr>
          <w:rFonts w:eastAsia="Calibri"/>
        </w:rPr>
        <w:t xml:space="preserve"> Management has worked closely with business units and </w:t>
      </w:r>
      <w:r w:rsidRPr="00DE68A1">
        <w:rPr>
          <w:rFonts w:eastAsia="Calibri"/>
        </w:rPr>
        <w:t>implemented improved management approaches for operational risk</w:t>
      </w:r>
      <w:r w:rsidR="00132D1B" w:rsidRPr="00DE68A1">
        <w:rPr>
          <w:rFonts w:eastAsia="Calibri"/>
        </w:rPr>
        <w:t>, including self</w:t>
      </w:r>
      <w:r w:rsidR="00E66AE8" w:rsidRPr="00DE68A1">
        <w:rPr>
          <w:rFonts w:eastAsia="Calibri"/>
        </w:rPr>
        <w:t>-</w:t>
      </w:r>
      <w:r w:rsidR="00132D1B" w:rsidRPr="00DE68A1">
        <w:rPr>
          <w:rFonts w:eastAsia="Calibri"/>
        </w:rPr>
        <w:t xml:space="preserve">assessment formats and surveys, to focus on critical risk areas, </w:t>
      </w:r>
      <w:r w:rsidRPr="00DE68A1">
        <w:rPr>
          <w:rFonts w:eastAsia="Calibri"/>
        </w:rPr>
        <w:t>to strengthen control,</w:t>
      </w:r>
      <w:r w:rsidR="00132D1B" w:rsidRPr="00DE68A1">
        <w:rPr>
          <w:rFonts w:eastAsia="Calibri"/>
        </w:rPr>
        <w:t xml:space="preserve"> </w:t>
      </w:r>
      <w:r w:rsidRPr="00DE68A1">
        <w:rPr>
          <w:rFonts w:eastAsia="Calibri"/>
        </w:rPr>
        <w:t xml:space="preserve">and </w:t>
      </w:r>
      <w:r w:rsidR="00955FE8" w:rsidRPr="00DE68A1">
        <w:rPr>
          <w:rFonts w:eastAsia="Calibri"/>
        </w:rPr>
        <w:t>minimize</w:t>
      </w:r>
      <w:r w:rsidRPr="00DE68A1">
        <w:rPr>
          <w:rFonts w:eastAsia="Calibri"/>
        </w:rPr>
        <w:t xml:space="preserve"> operating losses. </w:t>
      </w:r>
    </w:p>
    <w:p w14:paraId="56F567CB" w14:textId="77777777" w:rsidR="00D2567F" w:rsidRPr="00DE68A1" w:rsidRDefault="00D2567F" w:rsidP="00132D1B">
      <w:pPr>
        <w:pStyle w:val="BodyText"/>
        <w:tabs>
          <w:tab w:val="clear" w:pos="6199"/>
          <w:tab w:val="clear" w:pos="8566"/>
          <w:tab w:val="decimal" w:pos="8550"/>
        </w:tabs>
      </w:pPr>
      <w:r w:rsidRPr="00DE68A1">
        <w:t xml:space="preserve">The </w:t>
      </w:r>
      <w:r w:rsidR="00132D1B" w:rsidRPr="00DE68A1">
        <w:t>Bank</w:t>
      </w:r>
      <w:r w:rsidRPr="00DE68A1">
        <w:rPr>
          <w:rFonts w:hint="cs"/>
        </w:rPr>
        <w:t>’</w:t>
      </w:r>
      <w:r w:rsidRPr="00DE68A1">
        <w:t>s operational risk management framework aims to:</w:t>
      </w:r>
    </w:p>
    <w:p w14:paraId="1F9BB6A8" w14:textId="77777777" w:rsidR="00132D1B" w:rsidRPr="00DE68A1" w:rsidRDefault="00132D1B" w:rsidP="00132D1B">
      <w:pPr>
        <w:pStyle w:val="BodyText"/>
        <w:tabs>
          <w:tab w:val="clear" w:pos="6199"/>
          <w:tab w:val="clear" w:pos="8566"/>
          <w:tab w:val="decimal" w:pos="8550"/>
        </w:tabs>
      </w:pPr>
    </w:p>
    <w:p w14:paraId="33BB11B1" w14:textId="77777777" w:rsidR="00D2567F" w:rsidRPr="00DE68A1" w:rsidRDefault="00D2567F" w:rsidP="00C12B9B">
      <w:pPr>
        <w:pStyle w:val="BodyText"/>
        <w:numPr>
          <w:ilvl w:val="0"/>
          <w:numId w:val="17"/>
        </w:numPr>
        <w:tabs>
          <w:tab w:val="clear" w:pos="6199"/>
          <w:tab w:val="clear" w:pos="8566"/>
          <w:tab w:val="decimal" w:pos="8550"/>
        </w:tabs>
        <w:spacing w:line="276" w:lineRule="auto"/>
      </w:pPr>
      <w:r w:rsidRPr="00DE68A1">
        <w:t xml:space="preserve">Understand and report the operational risks being taken by the </w:t>
      </w:r>
      <w:r w:rsidR="00132D1B" w:rsidRPr="00DE68A1">
        <w:t>Bank</w:t>
      </w:r>
      <w:r w:rsidRPr="00DE68A1">
        <w:t>.</w:t>
      </w:r>
    </w:p>
    <w:p w14:paraId="2AA271CB" w14:textId="77777777" w:rsidR="00D2567F" w:rsidRPr="00DE68A1" w:rsidRDefault="00D2567F" w:rsidP="00C12B9B">
      <w:pPr>
        <w:pStyle w:val="BodyText"/>
        <w:numPr>
          <w:ilvl w:val="0"/>
          <w:numId w:val="17"/>
        </w:numPr>
        <w:tabs>
          <w:tab w:val="clear" w:pos="6199"/>
          <w:tab w:val="clear" w:pos="8566"/>
          <w:tab w:val="decimal" w:pos="8550"/>
        </w:tabs>
        <w:spacing w:line="276" w:lineRule="auto"/>
      </w:pPr>
      <w:r w:rsidRPr="00DE68A1">
        <w:t xml:space="preserve">Capture and report </w:t>
      </w:r>
      <w:r w:rsidR="00132D1B" w:rsidRPr="00DE68A1">
        <w:t xml:space="preserve">KRIs and </w:t>
      </w:r>
      <w:r w:rsidRPr="00DE68A1">
        <w:t>operational errors made.</w:t>
      </w:r>
    </w:p>
    <w:p w14:paraId="34F43EF4" w14:textId="77777777" w:rsidR="00132D1B" w:rsidRPr="00DE68A1" w:rsidRDefault="00D2567F" w:rsidP="00C12B9B">
      <w:pPr>
        <w:pStyle w:val="BodyText"/>
        <w:numPr>
          <w:ilvl w:val="0"/>
          <w:numId w:val="17"/>
        </w:numPr>
        <w:tabs>
          <w:tab w:val="clear" w:pos="6199"/>
          <w:tab w:val="clear" w:pos="8566"/>
          <w:tab w:val="decimal" w:pos="8550"/>
        </w:tabs>
        <w:spacing w:line="276" w:lineRule="auto"/>
      </w:pPr>
      <w:r w:rsidRPr="00DE68A1">
        <w:t>Understand and minimi</w:t>
      </w:r>
      <w:r w:rsidR="00132D1B" w:rsidRPr="00DE68A1">
        <w:t>z</w:t>
      </w:r>
      <w:r w:rsidRPr="00DE68A1">
        <w:t>e the frequency and impact, on a cost</w:t>
      </w:r>
      <w:r w:rsidR="00132D1B" w:rsidRPr="00DE68A1">
        <w:t xml:space="preserve"> </w:t>
      </w:r>
      <w:r w:rsidRPr="00DE68A1">
        <w:t>benefit</w:t>
      </w:r>
      <w:r w:rsidR="00132D1B" w:rsidRPr="00DE68A1">
        <w:t xml:space="preserve"> </w:t>
      </w:r>
      <w:r w:rsidRPr="00DE68A1">
        <w:t xml:space="preserve">basis, of </w:t>
      </w:r>
    </w:p>
    <w:p w14:paraId="191FF80D" w14:textId="77777777" w:rsidR="00D2567F" w:rsidRPr="00DE68A1" w:rsidRDefault="00132D1B" w:rsidP="00C12B9B">
      <w:pPr>
        <w:pStyle w:val="BodyText"/>
        <w:tabs>
          <w:tab w:val="clear" w:pos="6199"/>
          <w:tab w:val="clear" w:pos="8566"/>
          <w:tab w:val="decimal" w:pos="8550"/>
        </w:tabs>
        <w:spacing w:line="276" w:lineRule="auto"/>
      </w:pPr>
      <w:r w:rsidRPr="00DE68A1">
        <w:t xml:space="preserve">          </w:t>
      </w:r>
      <w:r w:rsidR="00145B68" w:rsidRPr="00DE68A1">
        <w:t>Operational</w:t>
      </w:r>
      <w:r w:rsidR="00D2567F" w:rsidRPr="00DE68A1">
        <w:t xml:space="preserve"> risk events.</w:t>
      </w:r>
    </w:p>
    <w:p w14:paraId="7A7BC34A" w14:textId="77777777" w:rsidR="00D2567F" w:rsidRPr="00DE68A1" w:rsidRDefault="00D2567F" w:rsidP="00C12B9B">
      <w:pPr>
        <w:pStyle w:val="BodyText"/>
        <w:numPr>
          <w:ilvl w:val="0"/>
          <w:numId w:val="18"/>
        </w:numPr>
        <w:tabs>
          <w:tab w:val="clear" w:pos="6199"/>
          <w:tab w:val="clear" w:pos="8566"/>
          <w:tab w:val="decimal" w:pos="8550"/>
        </w:tabs>
        <w:spacing w:line="276" w:lineRule="auto"/>
      </w:pPr>
      <w:r w:rsidRPr="00DE68A1">
        <w:t>Manage residual exposures using insurance.</w:t>
      </w:r>
    </w:p>
    <w:p w14:paraId="78FFF367" w14:textId="77777777" w:rsidR="00885D5D" w:rsidRPr="00DE68A1" w:rsidRDefault="00885D5D" w:rsidP="00885D5D">
      <w:pPr>
        <w:pStyle w:val="BodyText"/>
      </w:pPr>
    </w:p>
    <w:p w14:paraId="65EE9120" w14:textId="12379E3F" w:rsidR="006C2ED8" w:rsidRPr="00DE68A1" w:rsidRDefault="00E66AE8" w:rsidP="00013FE5">
      <w:pPr>
        <w:bidi w:val="0"/>
        <w:spacing w:after="200" w:line="276" w:lineRule="auto"/>
        <w:jc w:val="both"/>
        <w:rPr>
          <w:rFonts w:eastAsia="Calibri"/>
        </w:rPr>
      </w:pPr>
      <w:r w:rsidRPr="00DE68A1">
        <w:rPr>
          <w:rFonts w:eastAsia="Calibri"/>
        </w:rPr>
        <w:t>An operational risk self-</w:t>
      </w:r>
      <w:r w:rsidR="00885D5D" w:rsidRPr="00DE68A1">
        <w:rPr>
          <w:rFonts w:eastAsia="Calibri"/>
        </w:rPr>
        <w:t xml:space="preserve">assessment process is in place with focus on Key Risk Indicators that are specific to the operational area. Risk Management and Internal Audit </w:t>
      </w:r>
      <w:r w:rsidR="008D774B" w:rsidRPr="00DE68A1">
        <w:rPr>
          <w:rFonts w:eastAsia="Calibri"/>
        </w:rPr>
        <w:t>department</w:t>
      </w:r>
      <w:r w:rsidR="00885D5D" w:rsidRPr="00DE68A1">
        <w:rPr>
          <w:rFonts w:eastAsia="Calibri"/>
        </w:rPr>
        <w:t xml:space="preserve">s play a vital role in reviewing and maintaining the integrity of the control environment. Additionally, the Bank has covered certain specific areas of operational risk that cannot be controlled internally, through insurance policies. </w:t>
      </w:r>
      <w:r w:rsidR="00E40AC9" w:rsidRPr="00DE68A1">
        <w:rPr>
          <w:rFonts w:eastAsia="Calibri"/>
        </w:rPr>
        <w:t xml:space="preserve">Risk management has a scoring system to compare and report </w:t>
      </w:r>
      <w:r w:rsidR="00C31FDC" w:rsidRPr="00DE68A1">
        <w:rPr>
          <w:rFonts w:eastAsia="Calibri"/>
        </w:rPr>
        <w:t xml:space="preserve">on all </w:t>
      </w:r>
      <w:r w:rsidR="00012813" w:rsidRPr="00DE68A1">
        <w:rPr>
          <w:rFonts w:eastAsia="Calibri"/>
        </w:rPr>
        <w:t>departments’</w:t>
      </w:r>
      <w:r w:rsidR="00C31FDC" w:rsidRPr="00DE68A1">
        <w:rPr>
          <w:rFonts w:eastAsia="Calibri"/>
        </w:rPr>
        <w:t xml:space="preserve"> operational risks.</w:t>
      </w:r>
    </w:p>
    <w:p w14:paraId="3F433192" w14:textId="77777777" w:rsidR="005B34C3" w:rsidRPr="00DE68A1" w:rsidRDefault="005B34C3" w:rsidP="00885D5D">
      <w:pPr>
        <w:pStyle w:val="BodyText"/>
        <w:rPr>
          <w:b/>
          <w:color w:val="000000" w:themeColor="text1"/>
        </w:rPr>
      </w:pPr>
    </w:p>
    <w:p w14:paraId="030BEB2C" w14:textId="77777777" w:rsidR="00297361" w:rsidRDefault="00297361" w:rsidP="00505774">
      <w:pPr>
        <w:pStyle w:val="BodyText"/>
        <w:rPr>
          <w:b/>
        </w:rPr>
      </w:pPr>
    </w:p>
    <w:p w14:paraId="543161A3" w14:textId="77777777" w:rsidR="00297361" w:rsidRDefault="00297361" w:rsidP="00505774">
      <w:pPr>
        <w:pStyle w:val="BodyText"/>
        <w:rPr>
          <w:b/>
        </w:rPr>
      </w:pPr>
    </w:p>
    <w:p w14:paraId="3B258950" w14:textId="7B49AAFB" w:rsidR="00505774" w:rsidRPr="00DE68A1" w:rsidRDefault="00505774" w:rsidP="00505774">
      <w:pPr>
        <w:pStyle w:val="BodyText"/>
        <w:rPr>
          <w:b/>
        </w:rPr>
      </w:pPr>
      <w:r w:rsidRPr="00DE68A1">
        <w:rPr>
          <w:b/>
        </w:rPr>
        <w:t>Information Technology Management</w:t>
      </w:r>
    </w:p>
    <w:p w14:paraId="44E6D589" w14:textId="77777777" w:rsidR="00505774" w:rsidRPr="00DE68A1" w:rsidRDefault="00505774" w:rsidP="00505774">
      <w:pPr>
        <w:pStyle w:val="BodyText"/>
        <w:rPr>
          <w:b/>
        </w:rPr>
      </w:pPr>
    </w:p>
    <w:p w14:paraId="0B4B4E4F" w14:textId="02B0291A" w:rsidR="00885D5D" w:rsidRPr="00DE68A1" w:rsidRDefault="00885D5D" w:rsidP="00505774">
      <w:pPr>
        <w:bidi w:val="0"/>
        <w:spacing w:after="200" w:line="276" w:lineRule="auto"/>
        <w:jc w:val="both"/>
        <w:rPr>
          <w:rFonts w:eastAsia="Calibri"/>
        </w:rPr>
      </w:pPr>
      <w:r w:rsidRPr="00DE68A1">
        <w:rPr>
          <w:rFonts w:eastAsia="Calibri"/>
        </w:rPr>
        <w:t>Procedures are in place to safeguard the confidentiality and integrity of stored data and information. These include:</w:t>
      </w:r>
    </w:p>
    <w:p w14:paraId="6307D469" w14:textId="77777777" w:rsidR="00885D5D" w:rsidRPr="00DE68A1" w:rsidRDefault="00885D5D" w:rsidP="008A3F6C">
      <w:pPr>
        <w:pStyle w:val="ListParagraph"/>
        <w:numPr>
          <w:ilvl w:val="0"/>
          <w:numId w:val="34"/>
        </w:numPr>
        <w:bidi w:val="0"/>
        <w:spacing w:line="276" w:lineRule="auto"/>
        <w:jc w:val="both"/>
        <w:rPr>
          <w:rFonts w:eastAsia="Calibri"/>
        </w:rPr>
      </w:pPr>
      <w:r w:rsidRPr="00DE68A1">
        <w:rPr>
          <w:rFonts w:eastAsia="Calibri"/>
        </w:rPr>
        <w:t>The installation of firewall systems to protect the network from external interference</w:t>
      </w:r>
    </w:p>
    <w:p w14:paraId="3E6CA453" w14:textId="77777777" w:rsidR="00885D5D" w:rsidRPr="00DE68A1" w:rsidRDefault="00885D5D" w:rsidP="008A3F6C">
      <w:pPr>
        <w:pStyle w:val="ListParagraph"/>
        <w:numPr>
          <w:ilvl w:val="0"/>
          <w:numId w:val="34"/>
        </w:numPr>
        <w:bidi w:val="0"/>
        <w:spacing w:line="276" w:lineRule="auto"/>
        <w:jc w:val="both"/>
        <w:rPr>
          <w:rFonts w:eastAsia="Calibri"/>
        </w:rPr>
      </w:pPr>
      <w:r w:rsidRPr="00DE68A1">
        <w:rPr>
          <w:rFonts w:eastAsia="Calibri"/>
        </w:rPr>
        <w:t xml:space="preserve">Access controls over application systems </w:t>
      </w:r>
    </w:p>
    <w:p w14:paraId="68E8D85F" w14:textId="77777777" w:rsidR="00885D5D" w:rsidRPr="00DE68A1" w:rsidRDefault="00885D5D" w:rsidP="008A3F6C">
      <w:pPr>
        <w:pStyle w:val="ListParagraph"/>
        <w:numPr>
          <w:ilvl w:val="0"/>
          <w:numId w:val="34"/>
        </w:numPr>
        <w:bidi w:val="0"/>
        <w:spacing w:line="276" w:lineRule="auto"/>
        <w:jc w:val="both"/>
        <w:rPr>
          <w:rFonts w:eastAsia="Calibri"/>
        </w:rPr>
      </w:pPr>
      <w:r w:rsidRPr="00DE68A1">
        <w:rPr>
          <w:rFonts w:eastAsia="Calibri"/>
        </w:rPr>
        <w:t>Compliance with the principle of dual control in operating procedures</w:t>
      </w:r>
    </w:p>
    <w:p w14:paraId="47C194A5" w14:textId="77777777" w:rsidR="00885D5D" w:rsidRPr="00DE68A1" w:rsidRDefault="00885D5D" w:rsidP="008A3F6C">
      <w:pPr>
        <w:pStyle w:val="ListParagraph"/>
        <w:numPr>
          <w:ilvl w:val="0"/>
          <w:numId w:val="34"/>
        </w:numPr>
        <w:bidi w:val="0"/>
        <w:spacing w:line="276" w:lineRule="auto"/>
        <w:jc w:val="both"/>
        <w:rPr>
          <w:rFonts w:eastAsia="Calibri"/>
        </w:rPr>
      </w:pPr>
      <w:r w:rsidRPr="00DE68A1">
        <w:rPr>
          <w:rFonts w:eastAsia="Calibri"/>
        </w:rPr>
        <w:t>Various monitoring and internal control processes.</w:t>
      </w:r>
    </w:p>
    <w:p w14:paraId="68705980" w14:textId="1B6AEDDD" w:rsidR="00885D5D" w:rsidRPr="00DE68A1" w:rsidRDefault="00885D5D" w:rsidP="008A3F6C">
      <w:pPr>
        <w:pStyle w:val="ListParagraph"/>
        <w:numPr>
          <w:ilvl w:val="0"/>
          <w:numId w:val="34"/>
        </w:numPr>
        <w:bidi w:val="0"/>
        <w:spacing w:line="276" w:lineRule="auto"/>
        <w:jc w:val="both"/>
        <w:rPr>
          <w:rFonts w:eastAsia="Calibri"/>
        </w:rPr>
      </w:pPr>
      <w:r w:rsidRPr="00DE68A1">
        <w:rPr>
          <w:rFonts w:eastAsia="Calibri"/>
        </w:rPr>
        <w:t xml:space="preserve">Online data replication </w:t>
      </w:r>
      <w:r w:rsidR="00012813" w:rsidRPr="00DE68A1">
        <w:rPr>
          <w:rFonts w:eastAsia="Calibri"/>
        </w:rPr>
        <w:t>processes</w:t>
      </w:r>
      <w:r w:rsidRPr="00DE68A1">
        <w:rPr>
          <w:rFonts w:eastAsia="Calibri"/>
        </w:rPr>
        <w:t xml:space="preserve"> on independent servers.</w:t>
      </w:r>
    </w:p>
    <w:p w14:paraId="3926825B" w14:textId="77777777" w:rsidR="00F34722" w:rsidRPr="00DE68A1" w:rsidRDefault="00F34722" w:rsidP="008A3F6C">
      <w:pPr>
        <w:pStyle w:val="ListParagraph"/>
        <w:numPr>
          <w:ilvl w:val="0"/>
          <w:numId w:val="34"/>
        </w:numPr>
        <w:bidi w:val="0"/>
        <w:spacing w:line="276" w:lineRule="auto"/>
        <w:jc w:val="both"/>
        <w:rPr>
          <w:rFonts w:eastAsia="Calibri"/>
        </w:rPr>
      </w:pPr>
      <w:r w:rsidRPr="00DE68A1">
        <w:rPr>
          <w:rFonts w:eastAsia="Calibri"/>
        </w:rPr>
        <w:t>Onsite contingency planning.</w:t>
      </w:r>
    </w:p>
    <w:p w14:paraId="1563A465" w14:textId="77777777" w:rsidR="00885D5D" w:rsidRPr="00DE68A1" w:rsidRDefault="00F34722" w:rsidP="008A3F6C">
      <w:pPr>
        <w:pStyle w:val="ListParagraph"/>
        <w:numPr>
          <w:ilvl w:val="0"/>
          <w:numId w:val="34"/>
        </w:numPr>
        <w:bidi w:val="0"/>
        <w:spacing w:line="276" w:lineRule="auto"/>
        <w:jc w:val="both"/>
        <w:rPr>
          <w:rFonts w:eastAsia="Calibri"/>
        </w:rPr>
      </w:pPr>
      <w:r w:rsidRPr="00DE68A1">
        <w:rPr>
          <w:rFonts w:eastAsia="Calibri"/>
        </w:rPr>
        <w:t>Offsite business continuity and d</w:t>
      </w:r>
      <w:r w:rsidR="00885D5D" w:rsidRPr="00DE68A1">
        <w:rPr>
          <w:rFonts w:eastAsia="Calibri"/>
        </w:rPr>
        <w:t xml:space="preserve">isaster </w:t>
      </w:r>
      <w:r w:rsidRPr="00DE68A1">
        <w:rPr>
          <w:rFonts w:eastAsia="Calibri"/>
        </w:rPr>
        <w:t>r</w:t>
      </w:r>
      <w:r w:rsidR="00885D5D" w:rsidRPr="00DE68A1">
        <w:rPr>
          <w:rFonts w:eastAsia="Calibri"/>
        </w:rPr>
        <w:t>ecovery programs.</w:t>
      </w:r>
    </w:p>
    <w:p w14:paraId="2AA6672C" w14:textId="77777777" w:rsidR="00217FFE" w:rsidRPr="00DE68A1" w:rsidRDefault="00217FFE" w:rsidP="00217FFE">
      <w:pPr>
        <w:pStyle w:val="BodyText"/>
      </w:pPr>
    </w:p>
    <w:p w14:paraId="00F41C03" w14:textId="77777777" w:rsidR="00885D5D" w:rsidRPr="00DE68A1" w:rsidRDefault="00E70C2F" w:rsidP="002B3745">
      <w:pPr>
        <w:bidi w:val="0"/>
        <w:spacing w:after="200" w:line="276" w:lineRule="auto"/>
        <w:jc w:val="both"/>
        <w:rPr>
          <w:rFonts w:eastAsia="Calibri"/>
        </w:rPr>
      </w:pPr>
      <w:r w:rsidRPr="00DE68A1">
        <w:rPr>
          <w:rFonts w:eastAsia="Calibri"/>
        </w:rPr>
        <w:t>T</w:t>
      </w:r>
      <w:r w:rsidR="00B424F7" w:rsidRPr="00DE68A1">
        <w:rPr>
          <w:rFonts w:eastAsia="Calibri"/>
        </w:rPr>
        <w:t xml:space="preserve">he Bank is in the process of substantially upgrading </w:t>
      </w:r>
      <w:r w:rsidR="00217FFE" w:rsidRPr="00DE68A1">
        <w:rPr>
          <w:rFonts w:eastAsia="Calibri"/>
        </w:rPr>
        <w:t xml:space="preserve">the IT infrastructure </w:t>
      </w:r>
      <w:r w:rsidR="00B424F7" w:rsidRPr="00DE68A1">
        <w:rPr>
          <w:rFonts w:eastAsia="Calibri"/>
        </w:rPr>
        <w:t>including transactional, data warehousing and risk management solutions</w:t>
      </w:r>
      <w:r w:rsidR="00217FFE" w:rsidRPr="00DE68A1">
        <w:rPr>
          <w:rFonts w:eastAsia="Calibri"/>
        </w:rPr>
        <w:t xml:space="preserve"> in order to form the base for future growth opportunities</w:t>
      </w:r>
      <w:r w:rsidR="00B424F7" w:rsidRPr="00DE68A1">
        <w:rPr>
          <w:rFonts w:eastAsia="Calibri"/>
        </w:rPr>
        <w:t>.</w:t>
      </w:r>
    </w:p>
    <w:p w14:paraId="370DC7A2" w14:textId="56AAB34B" w:rsidR="008734A8" w:rsidRPr="00DE68A1" w:rsidRDefault="008734A8" w:rsidP="008734A8">
      <w:pPr>
        <w:bidi w:val="0"/>
        <w:spacing w:after="200" w:line="276" w:lineRule="auto"/>
        <w:jc w:val="both"/>
        <w:rPr>
          <w:rFonts w:eastAsia="Calibri"/>
          <w:b/>
          <w:bCs/>
        </w:rPr>
      </w:pPr>
      <w:r w:rsidRPr="00DE68A1">
        <w:rPr>
          <w:rFonts w:eastAsia="Calibri"/>
          <w:b/>
          <w:bCs/>
        </w:rPr>
        <w:t>Information Security:</w:t>
      </w:r>
    </w:p>
    <w:p w14:paraId="64880090" w14:textId="0EE66BF9" w:rsidR="008734A8" w:rsidRPr="00DE68A1" w:rsidRDefault="008734A8" w:rsidP="008734A8">
      <w:pPr>
        <w:bidi w:val="0"/>
        <w:spacing w:after="200" w:line="276" w:lineRule="auto"/>
        <w:jc w:val="both"/>
        <w:rPr>
          <w:rFonts w:eastAsia="Calibri"/>
        </w:rPr>
      </w:pPr>
      <w:r w:rsidRPr="00DE68A1">
        <w:rPr>
          <w:rFonts w:eastAsia="Calibri"/>
        </w:rPr>
        <w:t xml:space="preserve">To improve </w:t>
      </w:r>
      <w:r w:rsidR="00012813" w:rsidRPr="00DE68A1">
        <w:rPr>
          <w:rFonts w:eastAsia="Calibri"/>
        </w:rPr>
        <w:t>efficiency</w:t>
      </w:r>
      <w:r w:rsidRPr="00DE68A1">
        <w:rPr>
          <w:rFonts w:eastAsia="Calibri"/>
        </w:rPr>
        <w:t xml:space="preserve"> and </w:t>
      </w:r>
      <w:r w:rsidR="00012813" w:rsidRPr="00DE68A1">
        <w:rPr>
          <w:rFonts w:eastAsia="Calibri"/>
        </w:rPr>
        <w:t>service</w:t>
      </w:r>
      <w:r w:rsidR="00012813">
        <w:rPr>
          <w:rFonts w:eastAsia="Calibri"/>
        </w:rPr>
        <w:t xml:space="preserve"> </w:t>
      </w:r>
      <w:r w:rsidRPr="00DE68A1">
        <w:rPr>
          <w:rFonts w:eastAsia="Calibri"/>
        </w:rPr>
        <w:t>to customers, adoption of newer technology in banking is increasing. This has brought with it Information security risks that are on the rise in Gulf Region. Information security risks such as Cyber – attacks using malwares, ransomware and internal threats may affect the banking operations and lead to monitory and reputational loss.</w:t>
      </w:r>
    </w:p>
    <w:p w14:paraId="4E914B97" w14:textId="1947C02A" w:rsidR="008734A8" w:rsidRPr="00DE68A1" w:rsidRDefault="00FD212E" w:rsidP="00FD212E">
      <w:pPr>
        <w:bidi w:val="0"/>
        <w:spacing w:after="200" w:line="276" w:lineRule="auto"/>
        <w:jc w:val="both"/>
        <w:rPr>
          <w:b/>
          <w:bCs/>
          <w:color w:val="1F497D"/>
        </w:rPr>
      </w:pPr>
      <w:r w:rsidRPr="00DE68A1">
        <w:rPr>
          <w:rFonts w:eastAsia="Calibri"/>
        </w:rPr>
        <w:t>To mitigate these information security risks, IBK has established a dedicated Information Security Unit reporting to the Chief Risk Officer. The Information Security Unit monitors and assesses the Bank’s Technology and Information related risks and ensures controls and adherence to Industry standards and Central Bank of Kuwait guidance to mitigate these risks related to Information Security.</w:t>
      </w:r>
    </w:p>
    <w:p w14:paraId="2FE35E55" w14:textId="77777777" w:rsidR="00131B91" w:rsidRPr="00DE68A1" w:rsidRDefault="00885D5D" w:rsidP="00885D5D">
      <w:pPr>
        <w:bidi w:val="0"/>
        <w:rPr>
          <w:b/>
          <w:iCs/>
          <w:rtl/>
        </w:rPr>
      </w:pPr>
      <w:r w:rsidRPr="00DE68A1">
        <w:rPr>
          <w:b/>
        </w:rPr>
        <w:t xml:space="preserve">Capital allocation for </w:t>
      </w:r>
      <w:r w:rsidR="00CC5906" w:rsidRPr="00DE68A1">
        <w:rPr>
          <w:b/>
          <w:iCs/>
        </w:rPr>
        <w:t>O</w:t>
      </w:r>
      <w:r w:rsidR="00131B91" w:rsidRPr="00DE68A1">
        <w:rPr>
          <w:b/>
          <w:iCs/>
        </w:rPr>
        <w:t xml:space="preserve">perational </w:t>
      </w:r>
      <w:r w:rsidRPr="00DE68A1">
        <w:rPr>
          <w:b/>
          <w:iCs/>
        </w:rPr>
        <w:t>R</w:t>
      </w:r>
      <w:r w:rsidR="00131B91" w:rsidRPr="00DE68A1">
        <w:rPr>
          <w:b/>
          <w:iCs/>
        </w:rPr>
        <w:t>isk</w:t>
      </w:r>
      <w:r w:rsidRPr="00DE68A1">
        <w:rPr>
          <w:b/>
          <w:iCs/>
        </w:rPr>
        <w:t>:</w:t>
      </w:r>
    </w:p>
    <w:p w14:paraId="40A6A20B" w14:textId="77777777" w:rsidR="00184E6C" w:rsidRPr="00DE68A1" w:rsidRDefault="00184E6C" w:rsidP="00184E6C">
      <w:pPr>
        <w:bidi w:val="0"/>
        <w:jc w:val="both"/>
        <w:rPr>
          <w:bCs/>
          <w:iCs/>
        </w:rPr>
      </w:pPr>
    </w:p>
    <w:p w14:paraId="53A36A0E" w14:textId="2BF68F05" w:rsidR="00797038" w:rsidRPr="00DE68A1" w:rsidRDefault="00905237" w:rsidP="00782025">
      <w:pPr>
        <w:bidi w:val="0"/>
        <w:spacing w:after="200" w:line="276" w:lineRule="auto"/>
        <w:jc w:val="both"/>
        <w:rPr>
          <w:rFonts w:eastAsia="Calibri"/>
        </w:rPr>
      </w:pPr>
      <w:r w:rsidRPr="00DE68A1">
        <w:rPr>
          <w:rFonts w:eastAsia="Calibri"/>
        </w:rPr>
        <w:t>F</w:t>
      </w:r>
      <w:r w:rsidR="00001766" w:rsidRPr="00DE68A1">
        <w:rPr>
          <w:rFonts w:eastAsia="Calibri"/>
        </w:rPr>
        <w:t xml:space="preserve">or the purpose of </w:t>
      </w:r>
      <w:r w:rsidR="005F3E8F" w:rsidRPr="00DE68A1">
        <w:rPr>
          <w:rFonts w:eastAsia="Calibri"/>
        </w:rPr>
        <w:t>c</w:t>
      </w:r>
      <w:r w:rsidR="00001766" w:rsidRPr="00DE68A1">
        <w:rPr>
          <w:rFonts w:eastAsia="Calibri"/>
        </w:rPr>
        <w:t>apital adequacy under Bas</w:t>
      </w:r>
      <w:r w:rsidR="00334401" w:rsidRPr="00DE68A1">
        <w:rPr>
          <w:rFonts w:eastAsia="Calibri"/>
        </w:rPr>
        <w:t>el</w:t>
      </w:r>
      <w:r w:rsidR="00001766" w:rsidRPr="00DE68A1">
        <w:rPr>
          <w:rFonts w:eastAsia="Calibri"/>
        </w:rPr>
        <w:t xml:space="preserve"> </w:t>
      </w:r>
      <w:r w:rsidR="00010B2B" w:rsidRPr="00DE68A1">
        <w:rPr>
          <w:rFonts w:eastAsia="Calibri"/>
        </w:rPr>
        <w:t>III</w:t>
      </w:r>
      <w:r w:rsidR="00001766" w:rsidRPr="00DE68A1">
        <w:rPr>
          <w:rFonts w:eastAsia="Calibri"/>
        </w:rPr>
        <w:t xml:space="preserve">, the </w:t>
      </w:r>
      <w:r w:rsidR="005F3E8F" w:rsidRPr="00DE68A1">
        <w:rPr>
          <w:rFonts w:eastAsia="Calibri"/>
        </w:rPr>
        <w:t>B</w:t>
      </w:r>
      <w:r w:rsidR="00001766" w:rsidRPr="00DE68A1">
        <w:rPr>
          <w:rFonts w:eastAsia="Calibri"/>
        </w:rPr>
        <w:t xml:space="preserve">ank </w:t>
      </w:r>
      <w:r w:rsidR="00C5622A" w:rsidRPr="00DE68A1">
        <w:rPr>
          <w:rFonts w:eastAsia="Calibri"/>
        </w:rPr>
        <w:t>presently follows</w:t>
      </w:r>
      <w:r w:rsidR="00001766" w:rsidRPr="00DE68A1">
        <w:rPr>
          <w:rFonts w:eastAsia="Calibri"/>
        </w:rPr>
        <w:t xml:space="preserve"> the </w:t>
      </w:r>
      <w:r w:rsidR="00C5622A" w:rsidRPr="00DE68A1">
        <w:rPr>
          <w:rFonts w:eastAsia="Calibri"/>
        </w:rPr>
        <w:t>S</w:t>
      </w:r>
      <w:r w:rsidR="002B10C1" w:rsidRPr="00DE68A1">
        <w:rPr>
          <w:rFonts w:eastAsia="Calibri"/>
        </w:rPr>
        <w:t>tandardized</w:t>
      </w:r>
      <w:r w:rsidR="00001766" w:rsidRPr="00DE68A1">
        <w:rPr>
          <w:rFonts w:eastAsia="Calibri"/>
        </w:rPr>
        <w:t xml:space="preserve"> </w:t>
      </w:r>
      <w:r w:rsidR="00C5622A" w:rsidRPr="00DE68A1">
        <w:rPr>
          <w:rFonts w:eastAsia="Calibri"/>
        </w:rPr>
        <w:t>A</w:t>
      </w:r>
      <w:r w:rsidR="00001766" w:rsidRPr="00DE68A1">
        <w:rPr>
          <w:rFonts w:eastAsia="Calibri"/>
        </w:rPr>
        <w:t xml:space="preserve">pproach of measurement for calculating its operational risk capital charge based </w:t>
      </w:r>
      <w:r w:rsidR="001750E4" w:rsidRPr="00DE68A1">
        <w:rPr>
          <w:rFonts w:eastAsia="Calibri"/>
        </w:rPr>
        <w:t>on three</w:t>
      </w:r>
      <w:r w:rsidR="00001766" w:rsidRPr="00DE68A1">
        <w:rPr>
          <w:rFonts w:eastAsia="Calibri"/>
        </w:rPr>
        <w:t xml:space="preserve"> years</w:t>
      </w:r>
      <w:r w:rsidR="005F3E8F" w:rsidRPr="00DE68A1">
        <w:rPr>
          <w:rFonts w:eastAsia="Calibri"/>
        </w:rPr>
        <w:t>’</w:t>
      </w:r>
      <w:r w:rsidR="00143E46" w:rsidRPr="00DE68A1">
        <w:rPr>
          <w:rFonts w:eastAsia="Calibri"/>
        </w:rPr>
        <w:t xml:space="preserve"> gross income</w:t>
      </w:r>
      <w:r w:rsidR="001750E4" w:rsidRPr="00DE68A1">
        <w:rPr>
          <w:rFonts w:eastAsia="Calibri"/>
        </w:rPr>
        <w:t xml:space="preserve">. This is calculated </w:t>
      </w:r>
      <w:r w:rsidR="00F15F31" w:rsidRPr="00DE68A1">
        <w:rPr>
          <w:rFonts w:eastAsia="Calibri"/>
        </w:rPr>
        <w:t xml:space="preserve">as per the CBK guidelines. </w:t>
      </w:r>
      <w:r w:rsidR="00CE2CC1" w:rsidRPr="00DE68A1">
        <w:rPr>
          <w:rFonts w:eastAsia="Calibri"/>
        </w:rPr>
        <w:t>The Bank maintains a database of its operational losses</w:t>
      </w:r>
      <w:r w:rsidR="00F15F31" w:rsidRPr="00DE68A1">
        <w:rPr>
          <w:rFonts w:eastAsia="Calibri"/>
        </w:rPr>
        <w:t xml:space="preserve">. </w:t>
      </w:r>
      <w:r w:rsidR="00CE2CC1" w:rsidRPr="00DE68A1">
        <w:rPr>
          <w:rFonts w:eastAsia="Calibri"/>
        </w:rPr>
        <w:t xml:space="preserve"> </w:t>
      </w:r>
      <w:r w:rsidR="00904BC3" w:rsidRPr="00DE68A1">
        <w:rPr>
          <w:rFonts w:eastAsia="Calibri"/>
        </w:rPr>
        <w:t>The total amount of capital charge for operatio</w:t>
      </w:r>
      <w:r w:rsidR="00F15F31" w:rsidRPr="00DE68A1">
        <w:rPr>
          <w:rFonts w:eastAsia="Calibri"/>
        </w:rPr>
        <w:t>nal risk for FY</w:t>
      </w:r>
      <w:r w:rsidR="00E01875" w:rsidRPr="00DE68A1">
        <w:rPr>
          <w:rFonts w:eastAsia="Calibri"/>
        </w:rPr>
        <w:t>202</w:t>
      </w:r>
      <w:r w:rsidR="009B3450" w:rsidRPr="00DE68A1">
        <w:rPr>
          <w:rFonts w:eastAsia="Calibri"/>
        </w:rPr>
        <w:t>5</w:t>
      </w:r>
      <w:r w:rsidR="00F15F31" w:rsidRPr="00DE68A1">
        <w:rPr>
          <w:rFonts w:eastAsia="Calibri"/>
        </w:rPr>
        <w:t xml:space="preserve"> is: </w:t>
      </w:r>
      <w:r w:rsidR="006C2ED8" w:rsidRPr="00DE68A1">
        <w:rPr>
          <w:rFonts w:eastAsia="Calibri"/>
        </w:rPr>
        <w:t xml:space="preserve">KD </w:t>
      </w:r>
      <w:r w:rsidR="006E57A9" w:rsidRPr="00DE68A1">
        <w:rPr>
          <w:rFonts w:eastAsia="Calibri"/>
        </w:rPr>
        <w:t>7.</w:t>
      </w:r>
      <w:r w:rsidR="006C4F15" w:rsidRPr="00DE68A1">
        <w:rPr>
          <w:rFonts w:eastAsia="Calibri"/>
        </w:rPr>
        <w:t>374</w:t>
      </w:r>
      <w:r w:rsidR="006C2ED8" w:rsidRPr="00DE68A1">
        <w:rPr>
          <w:rFonts w:eastAsia="Calibri"/>
        </w:rPr>
        <w:t xml:space="preserve"> </w:t>
      </w:r>
      <w:r w:rsidR="00012813" w:rsidRPr="00DE68A1">
        <w:rPr>
          <w:rFonts w:eastAsia="Calibri"/>
        </w:rPr>
        <w:t>million</w:t>
      </w:r>
      <w:r w:rsidR="00F15F31" w:rsidRPr="00DE68A1">
        <w:rPr>
          <w:rFonts w:eastAsia="Calibri"/>
        </w:rPr>
        <w:t>.</w:t>
      </w:r>
    </w:p>
    <w:tbl>
      <w:tblPr>
        <w:tblW w:w="8752" w:type="dxa"/>
        <w:jc w:val="center"/>
        <w:tblLook w:val="04A0" w:firstRow="1" w:lastRow="0" w:firstColumn="1" w:lastColumn="0" w:noHBand="0" w:noVBand="1"/>
      </w:tblPr>
      <w:tblGrid>
        <w:gridCol w:w="6347"/>
        <w:gridCol w:w="2405"/>
      </w:tblGrid>
      <w:tr w:rsidR="00F15F31" w:rsidRPr="00DE68A1" w14:paraId="7CD5CBBB" w14:textId="77777777" w:rsidTr="006C2ED8">
        <w:trPr>
          <w:trHeight w:val="314"/>
          <w:jc w:val="center"/>
        </w:trPr>
        <w:tc>
          <w:tcPr>
            <w:tcW w:w="8752" w:type="dxa"/>
            <w:gridSpan w:val="2"/>
            <w:tcBorders>
              <w:top w:val="single" w:sz="8" w:space="0" w:color="auto"/>
              <w:left w:val="single" w:sz="8" w:space="0" w:color="auto"/>
              <w:bottom w:val="single" w:sz="4" w:space="0" w:color="auto"/>
              <w:right w:val="single" w:sz="8" w:space="0" w:color="000000"/>
            </w:tcBorders>
            <w:shd w:val="clear" w:color="000000" w:fill="002060"/>
            <w:noWrap/>
            <w:vAlign w:val="bottom"/>
            <w:hideMark/>
          </w:tcPr>
          <w:p w14:paraId="119E314B" w14:textId="77777777" w:rsidR="00F15F31" w:rsidRPr="00DE68A1" w:rsidRDefault="00F15F31" w:rsidP="00754B23">
            <w:pPr>
              <w:jc w:val="center"/>
              <w:rPr>
                <w:rFonts w:asciiTheme="minorBidi" w:hAnsiTheme="minorBidi" w:cstheme="minorBidi"/>
                <w:b/>
                <w:bCs/>
                <w:color w:val="FFFFFF"/>
                <w:sz w:val="18"/>
                <w:szCs w:val="18"/>
              </w:rPr>
            </w:pPr>
            <w:r w:rsidRPr="00DE68A1">
              <w:rPr>
                <w:rFonts w:asciiTheme="minorBidi" w:hAnsiTheme="minorBidi" w:cstheme="minorBidi"/>
                <w:b/>
                <w:bCs/>
                <w:color w:val="FFFFFF"/>
                <w:sz w:val="18"/>
                <w:szCs w:val="18"/>
              </w:rPr>
              <w:t>Industrial Bank of Kuwait</w:t>
            </w:r>
          </w:p>
        </w:tc>
      </w:tr>
      <w:tr w:rsidR="00F15F31" w:rsidRPr="00DE68A1" w14:paraId="5E2E71C1" w14:textId="77777777" w:rsidTr="00514626">
        <w:trPr>
          <w:trHeight w:val="329"/>
          <w:jc w:val="center"/>
        </w:trPr>
        <w:tc>
          <w:tcPr>
            <w:tcW w:w="8752" w:type="dxa"/>
            <w:gridSpan w:val="2"/>
            <w:tcBorders>
              <w:top w:val="single" w:sz="4" w:space="0" w:color="auto"/>
              <w:left w:val="single" w:sz="8" w:space="0" w:color="auto"/>
              <w:bottom w:val="single" w:sz="4" w:space="0" w:color="auto"/>
              <w:right w:val="single" w:sz="8" w:space="0" w:color="000000"/>
            </w:tcBorders>
            <w:shd w:val="clear" w:color="000000" w:fill="002060"/>
            <w:vAlign w:val="center"/>
            <w:hideMark/>
          </w:tcPr>
          <w:p w14:paraId="30F5BBB2" w14:textId="2C7121E5" w:rsidR="00F15F31" w:rsidRPr="00DE68A1" w:rsidRDefault="00F15F31" w:rsidP="002E4FC3">
            <w:pPr>
              <w:jc w:val="center"/>
              <w:rPr>
                <w:rFonts w:asciiTheme="minorBidi" w:hAnsiTheme="minorBidi" w:cstheme="minorBidi"/>
                <w:b/>
                <w:bCs/>
                <w:color w:val="FFFFFF"/>
                <w:sz w:val="18"/>
                <w:szCs w:val="18"/>
              </w:rPr>
            </w:pPr>
            <w:r w:rsidRPr="00DE68A1">
              <w:rPr>
                <w:rFonts w:asciiTheme="minorBidi" w:hAnsiTheme="minorBidi" w:cstheme="minorBidi"/>
                <w:b/>
                <w:bCs/>
                <w:color w:val="FFFFFF"/>
                <w:sz w:val="18"/>
                <w:szCs w:val="18"/>
              </w:rPr>
              <w:t>Disclosure on Operational Risk (Using Standardize</w:t>
            </w:r>
            <w:r w:rsidR="00F52ADB" w:rsidRPr="00DE68A1">
              <w:rPr>
                <w:rFonts w:asciiTheme="minorBidi" w:hAnsiTheme="minorBidi" w:cstheme="minorBidi"/>
                <w:b/>
                <w:bCs/>
                <w:color w:val="FFFFFF"/>
                <w:sz w:val="18"/>
                <w:szCs w:val="18"/>
              </w:rPr>
              <w:t>d Approach) as on 31</w:t>
            </w:r>
            <w:r w:rsidR="00F52ADB" w:rsidRPr="00DE68A1">
              <w:rPr>
                <w:rFonts w:asciiTheme="minorBidi" w:hAnsiTheme="minorBidi" w:cstheme="minorBidi"/>
                <w:b/>
                <w:bCs/>
                <w:color w:val="FFFFFF"/>
                <w:sz w:val="18"/>
                <w:szCs w:val="18"/>
                <w:vertAlign w:val="superscript"/>
              </w:rPr>
              <w:t>st</w:t>
            </w:r>
            <w:r w:rsidR="00F52ADB" w:rsidRPr="00DE68A1">
              <w:rPr>
                <w:rFonts w:asciiTheme="minorBidi" w:hAnsiTheme="minorBidi" w:cstheme="minorBidi"/>
                <w:b/>
                <w:bCs/>
                <w:color w:val="FFFFFF"/>
                <w:sz w:val="18"/>
                <w:szCs w:val="18"/>
              </w:rPr>
              <w:t xml:space="preserve"> December</w:t>
            </w:r>
            <w:r w:rsidRPr="00DE68A1">
              <w:rPr>
                <w:rFonts w:asciiTheme="minorBidi" w:hAnsiTheme="minorBidi" w:cstheme="minorBidi"/>
                <w:b/>
                <w:bCs/>
                <w:color w:val="FFFFFF"/>
                <w:sz w:val="18"/>
                <w:szCs w:val="18"/>
              </w:rPr>
              <w:t xml:space="preserve"> </w:t>
            </w:r>
            <w:r w:rsidR="00E01875" w:rsidRPr="00DE68A1">
              <w:rPr>
                <w:rFonts w:asciiTheme="minorBidi" w:hAnsiTheme="minorBidi" w:cstheme="minorBidi"/>
                <w:b/>
                <w:bCs/>
                <w:color w:val="FFFFFF"/>
                <w:sz w:val="18"/>
                <w:szCs w:val="18"/>
              </w:rPr>
              <w:t>20</w:t>
            </w:r>
            <w:r w:rsidR="009B3450" w:rsidRPr="00DE68A1">
              <w:rPr>
                <w:rFonts w:asciiTheme="minorBidi" w:hAnsiTheme="minorBidi" w:cstheme="minorBidi"/>
                <w:b/>
                <w:bCs/>
                <w:color w:val="FFFFFF"/>
                <w:sz w:val="18"/>
                <w:szCs w:val="18"/>
              </w:rPr>
              <w:t>25</w:t>
            </w:r>
          </w:p>
        </w:tc>
      </w:tr>
      <w:tr w:rsidR="00F15F31" w:rsidRPr="00DE68A1" w14:paraId="394DA4FB" w14:textId="77777777" w:rsidTr="006C2ED8">
        <w:trPr>
          <w:trHeight w:val="314"/>
          <w:jc w:val="center"/>
        </w:trPr>
        <w:tc>
          <w:tcPr>
            <w:tcW w:w="6347" w:type="dxa"/>
            <w:tcBorders>
              <w:top w:val="nil"/>
              <w:left w:val="single" w:sz="8" w:space="0" w:color="auto"/>
              <w:bottom w:val="single" w:sz="4" w:space="0" w:color="auto"/>
              <w:right w:val="single" w:sz="4" w:space="0" w:color="auto"/>
            </w:tcBorders>
            <w:noWrap/>
            <w:vAlign w:val="bottom"/>
            <w:hideMark/>
          </w:tcPr>
          <w:p w14:paraId="36CEEE01" w14:textId="6FDD9501" w:rsidR="00F15F31" w:rsidRPr="00DE68A1" w:rsidRDefault="00F15F31" w:rsidP="001A089F">
            <w:pPr>
              <w:jc w:val="center"/>
              <w:rPr>
                <w:rFonts w:asciiTheme="minorBidi" w:hAnsiTheme="minorBidi" w:cstheme="minorBidi"/>
                <w:b/>
                <w:bCs/>
                <w:color w:val="000000"/>
                <w:sz w:val="18"/>
                <w:szCs w:val="18"/>
              </w:rPr>
            </w:pPr>
            <w:r w:rsidRPr="00DE68A1">
              <w:rPr>
                <w:rFonts w:asciiTheme="minorBidi" w:hAnsiTheme="minorBidi" w:cstheme="minorBidi"/>
                <w:b/>
                <w:bCs/>
                <w:color w:val="000000"/>
                <w:sz w:val="18"/>
                <w:szCs w:val="18"/>
              </w:rPr>
              <w:t>Description</w:t>
            </w:r>
          </w:p>
        </w:tc>
        <w:tc>
          <w:tcPr>
            <w:tcW w:w="2405" w:type="dxa"/>
            <w:tcBorders>
              <w:top w:val="nil"/>
              <w:left w:val="nil"/>
              <w:bottom w:val="single" w:sz="4" w:space="0" w:color="auto"/>
              <w:right w:val="single" w:sz="8" w:space="0" w:color="auto"/>
            </w:tcBorders>
            <w:noWrap/>
            <w:vAlign w:val="bottom"/>
            <w:hideMark/>
          </w:tcPr>
          <w:p w14:paraId="3B8D5DA0" w14:textId="7036ABD8" w:rsidR="00F15F31" w:rsidRPr="00DE68A1" w:rsidRDefault="00F15F31" w:rsidP="001A089F">
            <w:pPr>
              <w:jc w:val="center"/>
              <w:rPr>
                <w:rFonts w:asciiTheme="minorBidi" w:hAnsiTheme="minorBidi" w:cstheme="minorBidi"/>
                <w:b/>
                <w:bCs/>
                <w:color w:val="000000"/>
                <w:sz w:val="18"/>
                <w:szCs w:val="18"/>
              </w:rPr>
            </w:pPr>
            <w:r w:rsidRPr="00DE68A1">
              <w:rPr>
                <w:rFonts w:asciiTheme="minorBidi" w:hAnsiTheme="minorBidi" w:cstheme="minorBidi"/>
                <w:b/>
                <w:bCs/>
                <w:color w:val="000000"/>
                <w:sz w:val="18"/>
                <w:szCs w:val="18"/>
              </w:rPr>
              <w:t>Value</w:t>
            </w:r>
            <w:r w:rsidR="00A961BA">
              <w:rPr>
                <w:rFonts w:asciiTheme="minorBidi" w:hAnsiTheme="minorBidi" w:cstheme="minorBidi"/>
                <w:b/>
                <w:bCs/>
                <w:color w:val="000000"/>
                <w:sz w:val="18"/>
                <w:szCs w:val="18"/>
              </w:rPr>
              <w:t xml:space="preserve"> </w:t>
            </w:r>
            <w:r w:rsidRPr="00DE68A1">
              <w:rPr>
                <w:rFonts w:asciiTheme="minorBidi" w:hAnsiTheme="minorBidi" w:cstheme="minorBidi"/>
                <w:b/>
                <w:bCs/>
                <w:color w:val="000000"/>
                <w:sz w:val="18"/>
                <w:szCs w:val="18"/>
              </w:rPr>
              <w:t>(KD '000)</w:t>
            </w:r>
          </w:p>
        </w:tc>
      </w:tr>
      <w:tr w:rsidR="006C4F15" w:rsidRPr="00DE68A1" w14:paraId="6BCCCA1E" w14:textId="77777777" w:rsidTr="00505774">
        <w:trPr>
          <w:trHeight w:val="314"/>
          <w:jc w:val="center"/>
        </w:trPr>
        <w:tc>
          <w:tcPr>
            <w:tcW w:w="6347" w:type="dxa"/>
            <w:tcBorders>
              <w:top w:val="nil"/>
              <w:left w:val="single" w:sz="8" w:space="0" w:color="auto"/>
              <w:bottom w:val="single" w:sz="4" w:space="0" w:color="auto"/>
              <w:right w:val="single" w:sz="4" w:space="0" w:color="auto"/>
            </w:tcBorders>
            <w:noWrap/>
            <w:vAlign w:val="center"/>
            <w:hideMark/>
          </w:tcPr>
          <w:p w14:paraId="72BF1390" w14:textId="77777777" w:rsidR="006C4F15" w:rsidRPr="00DE68A1" w:rsidRDefault="006C4F15" w:rsidP="006C4F15">
            <w:pPr>
              <w:jc w:val="right"/>
              <w:rPr>
                <w:rFonts w:asciiTheme="minorBidi" w:hAnsiTheme="minorBidi" w:cstheme="minorBidi"/>
                <w:color w:val="000000"/>
                <w:sz w:val="18"/>
                <w:szCs w:val="18"/>
              </w:rPr>
            </w:pPr>
            <w:r w:rsidRPr="00DE68A1">
              <w:rPr>
                <w:rFonts w:asciiTheme="minorBidi" w:hAnsiTheme="minorBidi" w:cstheme="minorBidi"/>
                <w:color w:val="000000"/>
                <w:sz w:val="18"/>
                <w:szCs w:val="18"/>
              </w:rPr>
              <w:t>Total Operational Risk Weighted Assets</w:t>
            </w:r>
          </w:p>
        </w:tc>
        <w:tc>
          <w:tcPr>
            <w:tcW w:w="2405" w:type="dxa"/>
            <w:tcBorders>
              <w:top w:val="nil"/>
              <w:left w:val="nil"/>
              <w:bottom w:val="single" w:sz="4" w:space="0" w:color="auto"/>
              <w:right w:val="single" w:sz="8" w:space="0" w:color="auto"/>
            </w:tcBorders>
            <w:noWrap/>
            <w:vAlign w:val="bottom"/>
            <w:hideMark/>
          </w:tcPr>
          <w:p w14:paraId="275E681C" w14:textId="41EA0432" w:rsidR="006C4F15" w:rsidRPr="00DE68A1" w:rsidRDefault="006C4F15" w:rsidP="006C4F15">
            <w:pPr>
              <w:rPr>
                <w:rFonts w:asciiTheme="minorBidi" w:hAnsiTheme="minorBidi" w:cstheme="minorBidi"/>
                <w:color w:val="000000"/>
                <w:sz w:val="18"/>
                <w:szCs w:val="18"/>
              </w:rPr>
            </w:pPr>
            <w:r w:rsidRPr="00DE68A1">
              <w:rPr>
                <w:rFonts w:ascii="Calibri" w:hAnsi="Calibri" w:cs="Calibri"/>
                <w:color w:val="000000"/>
                <w:sz w:val="22"/>
                <w:szCs w:val="22"/>
              </w:rPr>
              <w:t>56,724</w:t>
            </w:r>
          </w:p>
        </w:tc>
      </w:tr>
      <w:tr w:rsidR="006C4F15" w:rsidRPr="00DE68A1" w14:paraId="25F51CA3" w14:textId="77777777" w:rsidTr="00505774">
        <w:trPr>
          <w:trHeight w:val="314"/>
          <w:jc w:val="center"/>
        </w:trPr>
        <w:tc>
          <w:tcPr>
            <w:tcW w:w="6347" w:type="dxa"/>
            <w:tcBorders>
              <w:top w:val="nil"/>
              <w:left w:val="single" w:sz="8" w:space="0" w:color="auto"/>
              <w:bottom w:val="single" w:sz="4" w:space="0" w:color="auto"/>
              <w:right w:val="single" w:sz="4" w:space="0" w:color="auto"/>
            </w:tcBorders>
            <w:noWrap/>
            <w:vAlign w:val="center"/>
            <w:hideMark/>
          </w:tcPr>
          <w:p w14:paraId="2A72D9D6" w14:textId="77777777" w:rsidR="006C4F15" w:rsidRPr="00DE68A1" w:rsidRDefault="006C4F15" w:rsidP="006C4F15">
            <w:pPr>
              <w:jc w:val="right"/>
              <w:rPr>
                <w:rFonts w:asciiTheme="minorBidi" w:hAnsiTheme="minorBidi" w:cstheme="minorBidi"/>
                <w:color w:val="000000"/>
                <w:sz w:val="18"/>
                <w:szCs w:val="18"/>
              </w:rPr>
            </w:pPr>
            <w:r w:rsidRPr="00DE68A1">
              <w:rPr>
                <w:rFonts w:asciiTheme="minorBidi" w:hAnsiTheme="minorBidi" w:cstheme="minorBidi"/>
                <w:color w:val="000000"/>
                <w:sz w:val="18"/>
                <w:szCs w:val="18"/>
              </w:rPr>
              <w:t>Total Capital Charge</w:t>
            </w:r>
          </w:p>
        </w:tc>
        <w:tc>
          <w:tcPr>
            <w:tcW w:w="2405" w:type="dxa"/>
            <w:tcBorders>
              <w:top w:val="nil"/>
              <w:left w:val="nil"/>
              <w:bottom w:val="single" w:sz="4" w:space="0" w:color="auto"/>
              <w:right w:val="single" w:sz="8" w:space="0" w:color="auto"/>
            </w:tcBorders>
            <w:noWrap/>
            <w:vAlign w:val="bottom"/>
            <w:hideMark/>
          </w:tcPr>
          <w:p w14:paraId="131BA0D1" w14:textId="49AFD299" w:rsidR="006C4F15" w:rsidRPr="00DE68A1" w:rsidRDefault="006C4F15" w:rsidP="006C4F15">
            <w:pPr>
              <w:rPr>
                <w:rFonts w:asciiTheme="minorBidi" w:hAnsiTheme="minorBidi" w:cstheme="minorBidi"/>
                <w:color w:val="000000"/>
                <w:sz w:val="18"/>
                <w:szCs w:val="18"/>
              </w:rPr>
            </w:pPr>
            <w:r w:rsidRPr="00DE68A1">
              <w:rPr>
                <w:rFonts w:ascii="Calibri" w:hAnsi="Calibri" w:cs="Calibri"/>
                <w:color w:val="000000"/>
                <w:sz w:val="22"/>
                <w:szCs w:val="22"/>
              </w:rPr>
              <w:t>7,374</w:t>
            </w:r>
          </w:p>
        </w:tc>
      </w:tr>
      <w:tr w:rsidR="00F15F31" w:rsidRPr="00DE68A1" w14:paraId="2496908A" w14:textId="77777777" w:rsidTr="008A3F6C">
        <w:trPr>
          <w:trHeight w:val="60"/>
          <w:jc w:val="center"/>
        </w:trPr>
        <w:tc>
          <w:tcPr>
            <w:tcW w:w="8752" w:type="dxa"/>
            <w:gridSpan w:val="2"/>
            <w:tcBorders>
              <w:top w:val="single" w:sz="4" w:space="0" w:color="auto"/>
              <w:left w:val="single" w:sz="8" w:space="0" w:color="auto"/>
              <w:bottom w:val="single" w:sz="8" w:space="0" w:color="auto"/>
              <w:right w:val="single" w:sz="8" w:space="0" w:color="000000"/>
            </w:tcBorders>
            <w:vAlign w:val="bottom"/>
            <w:hideMark/>
          </w:tcPr>
          <w:p w14:paraId="47586139" w14:textId="35555236" w:rsidR="00F15F31" w:rsidRPr="00DE68A1" w:rsidRDefault="00F15F31" w:rsidP="00754B23">
            <w:pPr>
              <w:jc w:val="center"/>
              <w:rPr>
                <w:rFonts w:asciiTheme="minorBidi" w:hAnsiTheme="minorBidi" w:cstheme="minorBidi"/>
                <w:b/>
                <w:bCs/>
                <w:color w:val="000000"/>
                <w:sz w:val="18"/>
                <w:szCs w:val="18"/>
              </w:rPr>
            </w:pPr>
            <w:r w:rsidRPr="00DE68A1">
              <w:rPr>
                <w:rFonts w:asciiTheme="minorBidi" w:hAnsiTheme="minorBidi" w:cstheme="minorBidi"/>
                <w:b/>
                <w:bCs/>
                <w:color w:val="000000"/>
                <w:sz w:val="18"/>
                <w:szCs w:val="18"/>
              </w:rPr>
              <w:t xml:space="preserve">Methodology: Based on the average of last 3 years gross income, the approach as suggested by Central Bank of Kuwait / Basel </w:t>
            </w:r>
            <w:r w:rsidR="00FE1634">
              <w:rPr>
                <w:rFonts w:asciiTheme="minorBidi" w:hAnsiTheme="minorBidi" w:cstheme="minorBidi"/>
                <w:b/>
                <w:bCs/>
                <w:color w:val="000000"/>
                <w:sz w:val="18"/>
                <w:szCs w:val="18"/>
              </w:rPr>
              <w:t>–</w:t>
            </w:r>
            <w:r w:rsidRPr="00DE68A1">
              <w:rPr>
                <w:rFonts w:asciiTheme="minorBidi" w:hAnsiTheme="minorBidi" w:cstheme="minorBidi"/>
                <w:b/>
                <w:bCs/>
                <w:color w:val="000000"/>
                <w:sz w:val="18"/>
                <w:szCs w:val="18"/>
              </w:rPr>
              <w:t xml:space="preserve"> III</w:t>
            </w:r>
          </w:p>
        </w:tc>
      </w:tr>
    </w:tbl>
    <w:p w14:paraId="7D84DD78" w14:textId="77777777" w:rsidR="00750BBC" w:rsidRPr="00DE68A1" w:rsidRDefault="00750BBC" w:rsidP="00750BBC">
      <w:pPr>
        <w:bidi w:val="0"/>
        <w:rPr>
          <w:b/>
          <w:rtl/>
        </w:rPr>
      </w:pPr>
    </w:p>
    <w:p w14:paraId="6D94699E" w14:textId="77777777" w:rsidR="00297361" w:rsidRDefault="00297361" w:rsidP="00750BBC">
      <w:pPr>
        <w:bidi w:val="0"/>
        <w:rPr>
          <w:b/>
        </w:rPr>
      </w:pPr>
    </w:p>
    <w:p w14:paraId="5B416EEA" w14:textId="77777777" w:rsidR="00297361" w:rsidRDefault="00297361" w:rsidP="00297361">
      <w:pPr>
        <w:bidi w:val="0"/>
        <w:rPr>
          <w:b/>
        </w:rPr>
      </w:pPr>
    </w:p>
    <w:p w14:paraId="050CA54F" w14:textId="71A4D30C" w:rsidR="00885D5D" w:rsidRPr="00DE68A1" w:rsidRDefault="00885D5D" w:rsidP="00297361">
      <w:pPr>
        <w:bidi w:val="0"/>
        <w:rPr>
          <w:b/>
        </w:rPr>
      </w:pPr>
      <w:r w:rsidRPr="00DE68A1">
        <w:rPr>
          <w:b/>
        </w:rPr>
        <w:t>Anti-Money Laundering Policies</w:t>
      </w:r>
      <w:r w:rsidR="002B3745" w:rsidRPr="00DE68A1">
        <w:rPr>
          <w:b/>
        </w:rPr>
        <w:t>:</w:t>
      </w:r>
    </w:p>
    <w:p w14:paraId="512E8D3B" w14:textId="77777777" w:rsidR="002B3745" w:rsidRPr="00DE68A1" w:rsidRDefault="002B3745" w:rsidP="002B3745">
      <w:pPr>
        <w:bidi w:val="0"/>
        <w:rPr>
          <w:b/>
        </w:rPr>
      </w:pPr>
    </w:p>
    <w:p w14:paraId="01ECFFDB" w14:textId="21C5DCA3" w:rsidR="00885D5D" w:rsidRPr="00DE68A1" w:rsidRDefault="00885D5D" w:rsidP="004375CE">
      <w:pPr>
        <w:bidi w:val="0"/>
        <w:spacing w:after="200" w:line="276" w:lineRule="auto"/>
        <w:jc w:val="both"/>
        <w:rPr>
          <w:rFonts w:eastAsia="Calibri"/>
        </w:rPr>
      </w:pPr>
      <w:r w:rsidRPr="00DE68A1">
        <w:rPr>
          <w:rFonts w:eastAsia="Calibri"/>
        </w:rPr>
        <w:t>The Bank is subject to the rules and regulations of its regulator, the CBK, in the conduct of banking business. The Bank is bound by CBK Instruction No. (2/RB/</w:t>
      </w:r>
      <w:r w:rsidR="004375CE" w:rsidRPr="00DE68A1">
        <w:rPr>
          <w:rFonts w:eastAsia="Calibri"/>
        </w:rPr>
        <w:t>RBA/432/</w:t>
      </w:r>
      <w:r w:rsidRPr="00DE68A1">
        <w:rPr>
          <w:rFonts w:eastAsia="Calibri"/>
        </w:rPr>
        <w:t>20</w:t>
      </w:r>
      <w:r w:rsidR="004375CE" w:rsidRPr="00DE68A1">
        <w:rPr>
          <w:rFonts w:eastAsia="Calibri"/>
        </w:rPr>
        <w:t>19</w:t>
      </w:r>
      <w:r w:rsidRPr="00DE68A1">
        <w:rPr>
          <w:rFonts w:eastAsia="Calibri"/>
        </w:rPr>
        <w:t xml:space="preserve">) and Law No. </w:t>
      </w:r>
      <w:r w:rsidR="004375CE" w:rsidRPr="00DE68A1">
        <w:rPr>
          <w:rFonts w:eastAsia="Calibri"/>
        </w:rPr>
        <w:t>106</w:t>
      </w:r>
      <w:r w:rsidRPr="00DE68A1">
        <w:rPr>
          <w:rFonts w:eastAsia="Calibri"/>
        </w:rPr>
        <w:t xml:space="preserve"> of 20</w:t>
      </w:r>
      <w:r w:rsidR="004375CE" w:rsidRPr="00DE68A1">
        <w:rPr>
          <w:rFonts w:eastAsia="Calibri"/>
        </w:rPr>
        <w:t>13</w:t>
      </w:r>
      <w:r w:rsidRPr="00DE68A1">
        <w:rPr>
          <w:rFonts w:eastAsia="Calibri"/>
        </w:rPr>
        <w:t xml:space="preserve"> </w:t>
      </w:r>
      <w:r w:rsidR="00C75641" w:rsidRPr="00DE68A1">
        <w:rPr>
          <w:rFonts w:eastAsia="Calibri"/>
        </w:rPr>
        <w:t xml:space="preserve">and subsequent amendments </w:t>
      </w:r>
      <w:r w:rsidRPr="00DE68A1">
        <w:rPr>
          <w:rFonts w:eastAsia="Calibri"/>
        </w:rPr>
        <w:t>which have been designed to combat money laundering.</w:t>
      </w:r>
    </w:p>
    <w:p w14:paraId="7C202BDA" w14:textId="77777777" w:rsidR="00885D5D" w:rsidRPr="00DE68A1" w:rsidRDefault="00885D5D" w:rsidP="008909F2">
      <w:pPr>
        <w:bidi w:val="0"/>
        <w:spacing w:after="200" w:line="276" w:lineRule="auto"/>
        <w:jc w:val="both"/>
      </w:pPr>
      <w:r w:rsidRPr="00DE68A1">
        <w:rPr>
          <w:rFonts w:eastAsia="Calibri"/>
        </w:rPr>
        <w:t>The Bank has internal written policies and procedures authorized by its Board of Directors, designed to prevent, detect and combat money laundering. Its anti-money laundering systems include processes, policies, personnel and training, documentation, reporting, and control systems. In 20</w:t>
      </w:r>
      <w:r w:rsidR="00574C89" w:rsidRPr="00DE68A1">
        <w:rPr>
          <w:rFonts w:eastAsia="Calibri"/>
        </w:rPr>
        <w:t>13</w:t>
      </w:r>
      <w:r w:rsidRPr="00DE68A1">
        <w:rPr>
          <w:rFonts w:eastAsia="Calibri"/>
        </w:rPr>
        <w:t xml:space="preserve">, </w:t>
      </w:r>
      <w:r w:rsidR="00574C89" w:rsidRPr="00DE68A1">
        <w:rPr>
          <w:rFonts w:eastAsia="Calibri"/>
        </w:rPr>
        <w:t xml:space="preserve">based on new guidelines of the Central Bank of Kuwait </w:t>
      </w:r>
      <w:r w:rsidRPr="00DE68A1">
        <w:rPr>
          <w:rFonts w:eastAsia="Calibri"/>
        </w:rPr>
        <w:t>the</w:t>
      </w:r>
      <w:r w:rsidR="00574C89" w:rsidRPr="00DE68A1">
        <w:rPr>
          <w:rFonts w:eastAsia="Calibri"/>
        </w:rPr>
        <w:t xml:space="preserve"> AML</w:t>
      </w:r>
      <w:r w:rsidRPr="00DE68A1">
        <w:rPr>
          <w:rFonts w:eastAsia="Calibri"/>
        </w:rPr>
        <w:t xml:space="preserve"> policy and procedure was updated to</w:t>
      </w:r>
      <w:r w:rsidR="00574C89" w:rsidRPr="00DE68A1">
        <w:rPr>
          <w:rFonts w:eastAsia="Calibri"/>
        </w:rPr>
        <w:t xml:space="preserve"> cover the latest developments.</w:t>
      </w:r>
    </w:p>
    <w:p w14:paraId="793F4C58" w14:textId="131B595C" w:rsidR="00885D5D" w:rsidRPr="00DE68A1" w:rsidRDefault="00885D5D" w:rsidP="002B3745">
      <w:pPr>
        <w:bidi w:val="0"/>
        <w:spacing w:after="200" w:line="276" w:lineRule="auto"/>
        <w:jc w:val="both"/>
        <w:rPr>
          <w:rFonts w:eastAsia="Calibri"/>
        </w:rPr>
      </w:pPr>
      <w:r w:rsidRPr="00DE68A1">
        <w:rPr>
          <w:rFonts w:eastAsia="Calibri"/>
        </w:rPr>
        <w:t xml:space="preserve">The Bank is required to obtain from its </w:t>
      </w:r>
      <w:r w:rsidR="006845C0" w:rsidRPr="00DE68A1">
        <w:rPr>
          <w:rFonts w:eastAsia="Calibri"/>
        </w:rPr>
        <w:t>customers</w:t>
      </w:r>
      <w:r w:rsidRPr="00DE68A1">
        <w:rPr>
          <w:rFonts w:eastAsia="Calibri"/>
        </w:rPr>
        <w:t xml:space="preserve"> copies of the </w:t>
      </w:r>
      <w:r w:rsidR="006E57A9" w:rsidRPr="00DE68A1">
        <w:rPr>
          <w:rFonts w:eastAsia="Calibri"/>
        </w:rPr>
        <w:t>license</w:t>
      </w:r>
      <w:r w:rsidRPr="00DE68A1">
        <w:rPr>
          <w:rFonts w:eastAsia="Calibri"/>
        </w:rPr>
        <w:t xml:space="preserve"> and registration at the time of opening customer accounts. The Bank follows Know Your Customer (“KYC”) processes, and the identity of the Bank’s customers is established ab initio through official documents as above. Customer records are preserved for a period of 5 years after the termination of the banking relationship. Suspicious transactions are tracked. Staff training and awareness programs are conducted from time to time. The Bank has implemented a </w:t>
      </w:r>
      <w:r w:rsidR="006845C0" w:rsidRPr="00DE68A1">
        <w:rPr>
          <w:rFonts w:eastAsia="Calibri"/>
        </w:rPr>
        <w:t>state-of-the-art</w:t>
      </w:r>
      <w:r w:rsidRPr="00DE68A1">
        <w:rPr>
          <w:rFonts w:eastAsia="Calibri"/>
        </w:rPr>
        <w:t xml:space="preserve"> automated anti-money laundering system to track and </w:t>
      </w:r>
      <w:r w:rsidR="008271CF" w:rsidRPr="00DE68A1">
        <w:rPr>
          <w:rFonts w:eastAsia="Calibri"/>
        </w:rPr>
        <w:t>analyze</w:t>
      </w:r>
      <w:r w:rsidRPr="00DE68A1">
        <w:rPr>
          <w:rFonts w:eastAsia="Calibri"/>
        </w:rPr>
        <w:t xml:space="preserve"> suspicious transactions. </w:t>
      </w:r>
      <w:r w:rsidR="00574C89" w:rsidRPr="00DE68A1">
        <w:rPr>
          <w:rFonts w:eastAsia="Calibri"/>
        </w:rPr>
        <w:t>The Bank has initiated the process of becoming FATCA compliant.</w:t>
      </w:r>
    </w:p>
    <w:p w14:paraId="0C60D05F" w14:textId="77777777" w:rsidR="00902EAD" w:rsidRPr="00DE68A1" w:rsidRDefault="00145B68" w:rsidP="002B3745">
      <w:pPr>
        <w:bidi w:val="0"/>
        <w:spacing w:after="200" w:line="276" w:lineRule="auto"/>
        <w:jc w:val="both"/>
        <w:rPr>
          <w:rFonts w:eastAsia="Calibri"/>
        </w:rPr>
      </w:pPr>
      <w:r w:rsidRPr="00DE68A1">
        <w:rPr>
          <w:rFonts w:eastAsia="Calibri"/>
        </w:rPr>
        <w:t>N</w:t>
      </w:r>
      <w:r w:rsidR="00902EAD" w:rsidRPr="00DE68A1">
        <w:rPr>
          <w:rFonts w:eastAsia="Calibri"/>
        </w:rPr>
        <w:t xml:space="preserve">ew guidelines of the Central Bank of Kuwait require all customers of the Bank to be rated for money laundering and terrorist financing risks. An internal methodology </w:t>
      </w:r>
      <w:r w:rsidR="00E70C2F" w:rsidRPr="00DE68A1">
        <w:rPr>
          <w:rFonts w:eastAsia="Calibri"/>
        </w:rPr>
        <w:t xml:space="preserve">for AML risk assessment for companies and businesses </w:t>
      </w:r>
      <w:r w:rsidR="00902EAD" w:rsidRPr="00DE68A1">
        <w:rPr>
          <w:rFonts w:eastAsia="Calibri"/>
        </w:rPr>
        <w:t xml:space="preserve">has been developed by risk management and has been incorporated in Board approved policies of AML-TF. </w:t>
      </w:r>
    </w:p>
    <w:p w14:paraId="79267E7C" w14:textId="77777777" w:rsidR="008935E4" w:rsidRPr="00DE68A1" w:rsidRDefault="008935E4" w:rsidP="008A3F6C">
      <w:pPr>
        <w:bidi w:val="0"/>
        <w:spacing w:after="240"/>
        <w:rPr>
          <w:b/>
          <w:sz w:val="28"/>
          <w:szCs w:val="28"/>
        </w:rPr>
      </w:pPr>
      <w:r w:rsidRPr="00DE68A1">
        <w:rPr>
          <w:b/>
          <w:sz w:val="28"/>
          <w:szCs w:val="28"/>
        </w:rPr>
        <w:t>Information related to the Bank’s remuneration policy:</w:t>
      </w:r>
    </w:p>
    <w:p w14:paraId="54CF612B" w14:textId="77777777" w:rsidR="008935E4" w:rsidRPr="00DE68A1" w:rsidRDefault="008935E4" w:rsidP="008A3F6C">
      <w:pPr>
        <w:bidi w:val="0"/>
        <w:rPr>
          <w:b/>
        </w:rPr>
      </w:pPr>
      <w:r w:rsidRPr="00DE68A1">
        <w:rPr>
          <w:b/>
        </w:rPr>
        <w:t>Overview of the key features and objectives of the remuneration policy</w:t>
      </w:r>
      <w:r w:rsidR="00F6617C" w:rsidRPr="00DE68A1">
        <w:rPr>
          <w:b/>
        </w:rPr>
        <w:t>:</w:t>
      </w:r>
    </w:p>
    <w:p w14:paraId="32CF8DDB" w14:textId="77777777" w:rsidR="00F6617C" w:rsidRPr="00DE68A1" w:rsidRDefault="00F6617C" w:rsidP="00F6617C">
      <w:pPr>
        <w:pStyle w:val="BodyTextIndent"/>
        <w:ind w:left="0" w:firstLine="0"/>
        <w:rPr>
          <w:b/>
        </w:rPr>
      </w:pPr>
    </w:p>
    <w:p w14:paraId="5F81DF3A" w14:textId="77777777" w:rsidR="008935E4" w:rsidRPr="00DE68A1" w:rsidRDefault="008935E4" w:rsidP="002B3745">
      <w:pPr>
        <w:bidi w:val="0"/>
        <w:spacing w:after="200" w:line="276" w:lineRule="auto"/>
        <w:jc w:val="both"/>
        <w:rPr>
          <w:rFonts w:eastAsia="Calibri"/>
        </w:rPr>
      </w:pPr>
      <w:r w:rsidRPr="00DE68A1">
        <w:rPr>
          <w:rFonts w:eastAsia="Calibri"/>
        </w:rPr>
        <w:t>The Bank’s Remuneration Policy is designed to attract and retain highly qualified, skilled, and knowledgeable professionals and incorporates all the requirements of the CBK as mentioned within its corporate governance instructions. The Policy includes all necessary aspects and components of financial remuneration taking into account reinforcing the Bank’s performance objectives and effective risk management. The Bank’s Remuneration Policy incorporates all the requirements of the CBK as mentioned within its corporate governance instructions,</w:t>
      </w:r>
    </w:p>
    <w:p w14:paraId="145D97A7" w14:textId="77777777" w:rsidR="008935E4" w:rsidRPr="00DE68A1" w:rsidRDefault="008935E4" w:rsidP="002B3745">
      <w:pPr>
        <w:bidi w:val="0"/>
        <w:spacing w:after="200" w:line="276" w:lineRule="auto"/>
        <w:jc w:val="both"/>
        <w:rPr>
          <w:rFonts w:eastAsia="Calibri"/>
        </w:rPr>
      </w:pPr>
      <w:r w:rsidRPr="00DE68A1">
        <w:rPr>
          <w:rFonts w:eastAsia="Calibri"/>
        </w:rPr>
        <w:t>The Bank’s Board, based on the Board Nominations and Remuneration Committee (NRC) recommendations, approves and modifies the Bank’s remuneration policy and its design, and reviews the process of its implementation to ensure that it is operating as intended.</w:t>
      </w:r>
    </w:p>
    <w:p w14:paraId="658FA481" w14:textId="78104BED" w:rsidR="008935E4" w:rsidRPr="00DE68A1" w:rsidRDefault="008935E4" w:rsidP="002B3745">
      <w:pPr>
        <w:bidi w:val="0"/>
        <w:spacing w:after="200" w:line="276" w:lineRule="auto"/>
        <w:jc w:val="both"/>
        <w:rPr>
          <w:rFonts w:eastAsia="Calibri"/>
        </w:rPr>
      </w:pPr>
      <w:r w:rsidRPr="00DE68A1">
        <w:rPr>
          <w:rFonts w:eastAsia="Calibri"/>
          <w:b/>
          <w:bCs/>
        </w:rPr>
        <w:t>Remuneration components:</w:t>
      </w:r>
      <w:r w:rsidRPr="00DE68A1">
        <w:rPr>
          <w:rFonts w:eastAsia="Calibri"/>
        </w:rPr>
        <w:t xml:space="preserve"> The various remuneration components are combined to ensure an appropriate and balanced remuneration package that reflects the characteristics of the business </w:t>
      </w:r>
      <w:r w:rsidRPr="00DE68A1">
        <w:rPr>
          <w:rFonts w:eastAsia="Calibri"/>
        </w:rPr>
        <w:lastRenderedPageBreak/>
        <w:t xml:space="preserve">unit, the employee’s grade in the Bank and the job function as well as market practice concerning the prevailing remunerations level. The employee remuneration components are: </w:t>
      </w:r>
    </w:p>
    <w:p w14:paraId="52A6C39A" w14:textId="77777777" w:rsidR="008935E4" w:rsidRPr="00DE68A1" w:rsidRDefault="008935E4" w:rsidP="008935E4">
      <w:pPr>
        <w:autoSpaceDE w:val="0"/>
        <w:autoSpaceDN w:val="0"/>
        <w:bidi w:val="0"/>
        <w:adjustRightInd w:val="0"/>
        <w:spacing w:after="23"/>
        <w:ind w:left="720"/>
        <w:jc w:val="both"/>
        <w:rPr>
          <w:rFonts w:eastAsia="Calibri"/>
          <w:color w:val="000000"/>
        </w:rPr>
      </w:pPr>
      <w:r w:rsidRPr="00DE68A1">
        <w:rPr>
          <w:rFonts w:eastAsia="Calibri"/>
          <w:color w:val="000000"/>
        </w:rPr>
        <w:t>1. Fixed remuneration,</w:t>
      </w:r>
    </w:p>
    <w:p w14:paraId="62AAC382" w14:textId="77777777" w:rsidR="008935E4" w:rsidRPr="00DE68A1" w:rsidRDefault="008935E4" w:rsidP="008935E4">
      <w:pPr>
        <w:autoSpaceDE w:val="0"/>
        <w:autoSpaceDN w:val="0"/>
        <w:bidi w:val="0"/>
        <w:adjustRightInd w:val="0"/>
        <w:spacing w:after="23"/>
        <w:ind w:left="720"/>
        <w:jc w:val="both"/>
        <w:rPr>
          <w:rFonts w:eastAsia="Calibri"/>
          <w:color w:val="000000"/>
        </w:rPr>
      </w:pPr>
      <w:r w:rsidRPr="00DE68A1">
        <w:rPr>
          <w:rFonts w:eastAsia="Calibri"/>
          <w:color w:val="000000"/>
        </w:rPr>
        <w:t>2. Performance based Annual Incentives for all staff (STI),</w:t>
      </w:r>
    </w:p>
    <w:p w14:paraId="4C1B46E4" w14:textId="77777777" w:rsidR="008935E4" w:rsidRPr="00DE68A1" w:rsidRDefault="008935E4" w:rsidP="008935E4">
      <w:pPr>
        <w:autoSpaceDE w:val="0"/>
        <w:autoSpaceDN w:val="0"/>
        <w:bidi w:val="0"/>
        <w:adjustRightInd w:val="0"/>
        <w:spacing w:after="23"/>
        <w:ind w:left="720"/>
        <w:jc w:val="both"/>
        <w:rPr>
          <w:rFonts w:eastAsia="Calibri"/>
          <w:color w:val="000000"/>
        </w:rPr>
      </w:pPr>
      <w:r w:rsidRPr="00DE68A1">
        <w:rPr>
          <w:rFonts w:eastAsia="Calibri"/>
          <w:color w:val="000000"/>
        </w:rPr>
        <w:t>3. Risk and Return Based Long Term Incentives for Senior Staff (LTI),</w:t>
      </w:r>
    </w:p>
    <w:p w14:paraId="4D7B6B8C" w14:textId="77777777" w:rsidR="008935E4" w:rsidRPr="00DE68A1" w:rsidRDefault="008935E4" w:rsidP="008935E4">
      <w:pPr>
        <w:autoSpaceDE w:val="0"/>
        <w:autoSpaceDN w:val="0"/>
        <w:bidi w:val="0"/>
        <w:adjustRightInd w:val="0"/>
        <w:spacing w:after="23"/>
        <w:ind w:left="720"/>
        <w:jc w:val="both"/>
        <w:rPr>
          <w:rFonts w:eastAsia="Calibri"/>
          <w:color w:val="000000"/>
        </w:rPr>
      </w:pPr>
      <w:r w:rsidRPr="00DE68A1">
        <w:rPr>
          <w:rFonts w:eastAsia="Calibri"/>
          <w:color w:val="000000"/>
        </w:rPr>
        <w:t>4. Other benefits, and</w:t>
      </w:r>
    </w:p>
    <w:p w14:paraId="12D9C815" w14:textId="77777777" w:rsidR="008935E4" w:rsidRPr="00DE68A1" w:rsidRDefault="008935E4" w:rsidP="008935E4">
      <w:pPr>
        <w:autoSpaceDE w:val="0"/>
        <w:autoSpaceDN w:val="0"/>
        <w:bidi w:val="0"/>
        <w:adjustRightInd w:val="0"/>
        <w:ind w:left="720"/>
        <w:jc w:val="both"/>
        <w:rPr>
          <w:rFonts w:eastAsia="Calibri"/>
          <w:color w:val="000000"/>
        </w:rPr>
      </w:pPr>
      <w:r w:rsidRPr="00DE68A1">
        <w:rPr>
          <w:rFonts w:eastAsia="Calibri"/>
          <w:color w:val="000000"/>
        </w:rPr>
        <w:t>5. End of service payments.</w:t>
      </w:r>
    </w:p>
    <w:p w14:paraId="47DD8886" w14:textId="77777777" w:rsidR="008935E4" w:rsidRPr="00DE68A1" w:rsidRDefault="008935E4" w:rsidP="008935E4">
      <w:pPr>
        <w:autoSpaceDE w:val="0"/>
        <w:autoSpaceDN w:val="0"/>
        <w:bidi w:val="0"/>
        <w:adjustRightInd w:val="0"/>
        <w:jc w:val="both"/>
        <w:rPr>
          <w:rFonts w:eastAsia="Calibri"/>
          <w:color w:val="000000"/>
        </w:rPr>
      </w:pPr>
    </w:p>
    <w:p w14:paraId="18CB4DAE" w14:textId="77777777" w:rsidR="008935E4" w:rsidRPr="00DE68A1" w:rsidRDefault="008935E4" w:rsidP="00502A1D">
      <w:pPr>
        <w:bidi w:val="0"/>
        <w:spacing w:after="200" w:line="276" w:lineRule="auto"/>
        <w:jc w:val="both"/>
        <w:rPr>
          <w:rFonts w:eastAsia="Calibri"/>
        </w:rPr>
      </w:pPr>
      <w:r w:rsidRPr="00DE68A1">
        <w:rPr>
          <w:rFonts w:eastAsia="Calibri"/>
        </w:rPr>
        <w:t>The fixed remuneration is determined on the basis of the role of the individual employee, including job responsibility, job complexity, grade, performance and local market conditions and the applicable laws.</w:t>
      </w:r>
    </w:p>
    <w:p w14:paraId="4A6FCD40" w14:textId="72F17365" w:rsidR="008935E4" w:rsidRPr="00DE68A1" w:rsidRDefault="008935E4" w:rsidP="00502A1D">
      <w:pPr>
        <w:bidi w:val="0"/>
        <w:spacing w:after="200" w:line="276" w:lineRule="auto"/>
        <w:jc w:val="both"/>
        <w:rPr>
          <w:rFonts w:eastAsia="Calibri"/>
        </w:rPr>
      </w:pPr>
      <w:r w:rsidRPr="00DE68A1">
        <w:rPr>
          <w:rFonts w:eastAsia="Calibri"/>
        </w:rPr>
        <w:t xml:space="preserve">The performance-based incentives (STI and LTI) are designed to motivate and reward the employees to achieve the goals and objectives of the Bank as per the strategy and annual plans of the Bank. </w:t>
      </w:r>
      <w:r w:rsidR="006845C0" w:rsidRPr="00DE68A1">
        <w:rPr>
          <w:rFonts w:eastAsia="Calibri"/>
        </w:rPr>
        <w:t>Performance-based</w:t>
      </w:r>
      <w:r w:rsidRPr="00DE68A1">
        <w:rPr>
          <w:rFonts w:eastAsia="Calibri"/>
        </w:rPr>
        <w:t xml:space="preserve"> incentives are disbursed as an annual cash bonus for all staff (STI) and deferred cash bonus for the senior staff (LTI).  The incentive schemes are linked with a balanced mix of performance indicators at the corporate level, department / unit level and the employee level.  The primary goal of the STI is to align the incentive with the Bank’s annual performance and individual contributions. The LTI for the senior staff is designed to encourage sustainable and </w:t>
      </w:r>
      <w:r w:rsidR="006845C0" w:rsidRPr="00DE68A1">
        <w:rPr>
          <w:rFonts w:eastAsia="Calibri"/>
        </w:rPr>
        <w:t>risk-adjusted long-term</w:t>
      </w:r>
      <w:r w:rsidRPr="00DE68A1">
        <w:rPr>
          <w:rFonts w:eastAsia="Calibri"/>
        </w:rPr>
        <w:t xml:space="preserve"> performance of the Bank. The LTI scheme is applicable from 2015 onwards.</w:t>
      </w:r>
    </w:p>
    <w:p w14:paraId="3E21DD34" w14:textId="6F442F7E" w:rsidR="008935E4" w:rsidRPr="00DE68A1" w:rsidRDefault="008935E4" w:rsidP="00502A1D">
      <w:pPr>
        <w:bidi w:val="0"/>
        <w:spacing w:after="200" w:line="276" w:lineRule="auto"/>
        <w:jc w:val="both"/>
        <w:rPr>
          <w:rFonts w:eastAsia="Calibri"/>
        </w:rPr>
      </w:pPr>
      <w:r w:rsidRPr="00DE68A1">
        <w:rPr>
          <w:rFonts w:eastAsia="Calibri"/>
        </w:rPr>
        <w:t>The Bank has introduced a formal performance management process for evaluating and measuring staff performance at all levels</w:t>
      </w:r>
      <w:r w:rsidR="008C6FA4" w:rsidRPr="00DE68A1">
        <w:rPr>
          <w:rFonts w:eastAsia="Calibri"/>
        </w:rPr>
        <w:t xml:space="preserve">. </w:t>
      </w:r>
      <w:r w:rsidRPr="00DE68A1">
        <w:rPr>
          <w:rFonts w:eastAsia="Calibri"/>
        </w:rPr>
        <w:t xml:space="preserve">In the beginning of the year, the staff and their performance managers plan and document the annual performance goals (KPIs), required competencies and personal development plans for the staff. At the annual performance appraisal interview, the performance managers and the reviewers evaluate and document performance against the documented goals. Decisions on adjustment of the employee’s fixed salary and on </w:t>
      </w:r>
      <w:r w:rsidR="006845C0" w:rsidRPr="00DE68A1">
        <w:rPr>
          <w:rFonts w:eastAsia="Calibri"/>
        </w:rPr>
        <w:t>performance-based</w:t>
      </w:r>
      <w:r w:rsidRPr="00DE68A1">
        <w:rPr>
          <w:rFonts w:eastAsia="Calibri"/>
        </w:rPr>
        <w:t xml:space="preserve"> incentives are made on the basis of the annual performance review. </w:t>
      </w:r>
    </w:p>
    <w:p w14:paraId="342FDC46" w14:textId="77777777" w:rsidR="008935E4" w:rsidRPr="00DE68A1" w:rsidRDefault="008935E4" w:rsidP="008935E4">
      <w:pPr>
        <w:bidi w:val="0"/>
        <w:spacing w:after="200" w:line="276" w:lineRule="auto"/>
        <w:jc w:val="both"/>
        <w:rPr>
          <w:rFonts w:eastAsia="Calibri"/>
        </w:rPr>
      </w:pPr>
      <w:r w:rsidRPr="00DE68A1">
        <w:rPr>
          <w:rFonts w:eastAsia="Calibri"/>
        </w:rPr>
        <w:t>Other benefits like annual leave, medical leave and other leaves, medical insurance, annual tickets, and allowances are provided on the basis of individual employment contracts, local market practice subject to the applicable laws. End of service payments are payable in accordance with the employment contract subject to the applicable laws.</w:t>
      </w:r>
    </w:p>
    <w:p w14:paraId="2B222EBD" w14:textId="77777777" w:rsidR="008935E4" w:rsidRPr="00DE68A1" w:rsidRDefault="008935E4" w:rsidP="008935E4">
      <w:pPr>
        <w:bidi w:val="0"/>
        <w:spacing w:after="200" w:line="276" w:lineRule="auto"/>
        <w:jc w:val="both"/>
        <w:rPr>
          <w:rFonts w:eastAsia="Calibri"/>
        </w:rPr>
      </w:pPr>
      <w:r w:rsidRPr="00DE68A1">
        <w:rPr>
          <w:rFonts w:eastAsia="Calibri"/>
        </w:rPr>
        <w:t>The CEO oversees the implementation of the remuneration system of the employees as per the approved policy, including the design and related procedures.  The Board NRC periodically evaluates the sufficiency and effectiveness of the Remuneration Policy to ensure its alignment with the Bank’s objectives. The NRC assists the Board to conduct an independent annual review of the Bank’s compliance with the Remuneration Policy.</w:t>
      </w:r>
    </w:p>
    <w:p w14:paraId="5967E32C" w14:textId="71893942" w:rsidR="008935E4" w:rsidRPr="00DE68A1" w:rsidRDefault="008935E4" w:rsidP="00CD18D4">
      <w:pPr>
        <w:bidi w:val="0"/>
        <w:spacing w:after="200" w:line="276" w:lineRule="auto"/>
        <w:jc w:val="both"/>
        <w:rPr>
          <w:rFonts w:eastAsia="Calibri"/>
        </w:rPr>
      </w:pPr>
      <w:r w:rsidRPr="00DE68A1">
        <w:rPr>
          <w:rFonts w:eastAsia="Calibri"/>
          <w:b/>
          <w:bCs/>
        </w:rPr>
        <w:t>Nomination and Remuneration Committee</w:t>
      </w:r>
      <w:r w:rsidR="007C64FF" w:rsidRPr="00DE68A1">
        <w:rPr>
          <w:rFonts w:eastAsia="Calibri"/>
          <w:b/>
          <w:bCs/>
        </w:rPr>
        <w:t xml:space="preserve"> (NRC)</w:t>
      </w:r>
      <w:r w:rsidRPr="00DE68A1">
        <w:rPr>
          <w:rFonts w:eastAsia="Calibri"/>
          <w:b/>
          <w:bCs/>
        </w:rPr>
        <w:t>:</w:t>
      </w:r>
      <w:r w:rsidRPr="00DE68A1">
        <w:rPr>
          <w:rFonts w:eastAsia="Calibri"/>
        </w:rPr>
        <w:t xml:space="preserve"> The role of the Nomination and Remuneration Committee is to assist the Board of Directors in fulfilling its oversight on the identification of </w:t>
      </w:r>
      <w:r w:rsidR="006845C0" w:rsidRPr="00DE68A1">
        <w:rPr>
          <w:rFonts w:eastAsia="Calibri"/>
        </w:rPr>
        <w:t>people</w:t>
      </w:r>
      <w:r w:rsidRPr="00DE68A1">
        <w:rPr>
          <w:rFonts w:eastAsia="Calibri"/>
        </w:rPr>
        <w:t xml:space="preserve"> eligible for membership of the Board of Directors; the Committee will submit its recommendations to the Board regarding candidates to the different committees. The committee is also responsible for the draft, review and update of the Remuneration policy, and </w:t>
      </w:r>
      <w:r w:rsidRPr="00DE68A1">
        <w:rPr>
          <w:rFonts w:eastAsia="Calibri"/>
        </w:rPr>
        <w:lastRenderedPageBreak/>
        <w:t>assist the board in evaluating the effectiveness and fairness of the policy, and to ensure that the policy is appropriate with the strategic objectives of the Bank.  The NRC conducts regular revision of Remuneration Policy and makes recommendations on any updates to the Board. It carries out regular evaluation of the sufficiency and effectiveness of Remuneration Policy to ensure alignment with Bank’s objectives. It makes recommendations to the Board regarding the level and components of the remuneration of the CEO and his direct reports as well as the Bank’s executive staff. It works closely with the Bank’s Risk Committee and the CRO in order to evaluate the incentives proposed by the remuneration system</w:t>
      </w:r>
      <w:r w:rsidR="00352BDF" w:rsidRPr="00DE68A1">
        <w:rPr>
          <w:rFonts w:eastAsia="Calibri"/>
        </w:rPr>
        <w:t>.</w:t>
      </w:r>
    </w:p>
    <w:p w14:paraId="0D884392" w14:textId="77D3CBBE" w:rsidR="00352BDF" w:rsidRPr="00DE68A1" w:rsidRDefault="00352BDF" w:rsidP="004D34A8">
      <w:pPr>
        <w:bidi w:val="0"/>
        <w:spacing w:after="200" w:line="276" w:lineRule="auto"/>
        <w:jc w:val="both"/>
        <w:rPr>
          <w:rFonts w:eastAsia="Calibri"/>
          <w:color w:val="000000" w:themeColor="text1"/>
        </w:rPr>
      </w:pPr>
      <w:r w:rsidRPr="00DE68A1">
        <w:rPr>
          <w:rFonts w:eastAsia="Calibri"/>
          <w:color w:val="000000" w:themeColor="text1"/>
        </w:rPr>
        <w:t xml:space="preserve">The Bank consulted Ernest &amp; Young during </w:t>
      </w:r>
      <w:r w:rsidR="00CA61D2" w:rsidRPr="00DE68A1">
        <w:rPr>
          <w:rFonts w:eastAsia="Calibri"/>
          <w:color w:val="000000" w:themeColor="text1"/>
        </w:rPr>
        <w:t xml:space="preserve">2014 </w:t>
      </w:r>
      <w:r w:rsidR="0012114D" w:rsidRPr="00DE68A1">
        <w:rPr>
          <w:rFonts w:eastAsia="Calibri"/>
          <w:color w:val="000000" w:themeColor="text1"/>
        </w:rPr>
        <w:t>to structure</w:t>
      </w:r>
      <w:r w:rsidR="00C51492" w:rsidRPr="00DE68A1">
        <w:rPr>
          <w:rFonts w:eastAsia="Calibri"/>
          <w:color w:val="000000" w:themeColor="text1"/>
        </w:rPr>
        <w:t xml:space="preserve"> an incentive policy</w:t>
      </w:r>
      <w:r w:rsidR="00EA5161" w:rsidRPr="00DE68A1">
        <w:rPr>
          <w:rFonts w:eastAsia="Calibri"/>
          <w:color w:val="000000" w:themeColor="text1"/>
        </w:rPr>
        <w:t xml:space="preserve">. </w:t>
      </w:r>
      <w:r w:rsidR="00CA61D2" w:rsidRPr="00DE68A1">
        <w:rPr>
          <w:rFonts w:eastAsia="Calibri"/>
          <w:color w:val="000000" w:themeColor="text1"/>
        </w:rPr>
        <w:t>The Bank follows a Board approved Remuneration Committee Charter and Procedures, which was approved in 2014. Since FY2015, the Bank has been implementing revised performance management system for all employees.</w:t>
      </w:r>
    </w:p>
    <w:p w14:paraId="3F94DFAD" w14:textId="0FF5A2A2" w:rsidR="008935E4" w:rsidRPr="00DE68A1" w:rsidRDefault="008935E4" w:rsidP="008935E4">
      <w:pPr>
        <w:bidi w:val="0"/>
        <w:spacing w:after="200" w:line="276" w:lineRule="auto"/>
        <w:jc w:val="both"/>
        <w:rPr>
          <w:rFonts w:eastAsia="Calibri"/>
        </w:rPr>
      </w:pPr>
      <w:r w:rsidRPr="00DE68A1">
        <w:rPr>
          <w:rFonts w:eastAsia="Calibri"/>
          <w:b/>
          <w:bCs/>
        </w:rPr>
        <w:t>Risk Assessment:</w:t>
      </w:r>
      <w:r w:rsidRPr="00DE68A1">
        <w:rPr>
          <w:rFonts w:eastAsia="Calibri"/>
        </w:rPr>
        <w:t xml:space="preserve"> The main business of the Bank is </w:t>
      </w:r>
      <w:r w:rsidR="009945FF" w:rsidRPr="00DE68A1">
        <w:rPr>
          <w:rFonts w:eastAsia="Calibri"/>
        </w:rPr>
        <w:t>a</w:t>
      </w:r>
      <w:r w:rsidRPr="00DE68A1">
        <w:rPr>
          <w:rFonts w:eastAsia="Calibri"/>
        </w:rPr>
        <w:t xml:space="preserve"> combination of development and commercial banking supplemented by an </w:t>
      </w:r>
      <w:r w:rsidR="0012114D" w:rsidRPr="00DE68A1">
        <w:rPr>
          <w:rFonts w:eastAsia="Calibri"/>
        </w:rPr>
        <w:t>investment</w:t>
      </w:r>
      <w:r w:rsidRPr="00DE68A1">
        <w:rPr>
          <w:rFonts w:eastAsia="Calibri"/>
        </w:rPr>
        <w:t xml:space="preserve"> portfolio. It also manages two government funded portfolios related to small scale industry and handicrafts and agricultural financing. It is risk management department’s assessment that the remuneration policy of the bank evenly weights the long and the medium term results and this is well documented and recorded in the new performance appraisal system (PMS) through a SMART process (Specific, Measurable, Achievable, Relevant and Time based) through detailed and quantified KPIs (Key performance indicators), continuous performance monitoring and coaching, periodic reviews and final performance based on financial results as well as defined qualitative objectives. Senior management is judged by the Remuneration Committee on a distribution and combination of return on investment, defined risk measures including CAMEL-BCOM components, and business elements. </w:t>
      </w:r>
      <w:r w:rsidR="00352BDF" w:rsidRPr="00DE68A1">
        <w:rPr>
          <w:rFonts w:eastAsia="Calibri"/>
        </w:rPr>
        <w:t xml:space="preserve">The Bank took measures to </w:t>
      </w:r>
      <w:r w:rsidR="0098299E" w:rsidRPr="00DE68A1">
        <w:rPr>
          <w:rFonts w:eastAsia="Calibri"/>
        </w:rPr>
        <w:t>ensure that</w:t>
      </w:r>
      <w:r w:rsidRPr="00DE68A1">
        <w:rPr>
          <w:rFonts w:eastAsia="Calibri"/>
        </w:rPr>
        <w:t xml:space="preserve"> no material risk taker or the senior management approached areas for short term gains such as financial market trading or areas subject to high risk and potential reward or indulged in excessive risk taking. All proposals of the Bank and the overall portfolio of the Bank </w:t>
      </w:r>
      <w:r w:rsidR="00BF1ECF" w:rsidRPr="00DE68A1">
        <w:rPr>
          <w:rFonts w:eastAsia="Calibri"/>
        </w:rPr>
        <w:t>were</w:t>
      </w:r>
      <w:r w:rsidRPr="00DE68A1">
        <w:rPr>
          <w:rFonts w:eastAsia="Calibri"/>
        </w:rPr>
        <w:t xml:space="preserve"> assessed independently by risk management and reported to the Board Risk Committee.</w:t>
      </w:r>
    </w:p>
    <w:p w14:paraId="4D55CD0F" w14:textId="48EE4688" w:rsidR="00492E95" w:rsidRPr="00DE68A1" w:rsidRDefault="00492E95" w:rsidP="00492E95">
      <w:pPr>
        <w:bidi w:val="0"/>
        <w:spacing w:after="200" w:line="276" w:lineRule="auto"/>
        <w:jc w:val="both"/>
        <w:rPr>
          <w:rFonts w:eastAsia="Calibri"/>
        </w:rPr>
      </w:pPr>
      <w:r w:rsidRPr="00DE68A1">
        <w:rPr>
          <w:rFonts w:eastAsia="Calibri"/>
        </w:rPr>
        <w:t xml:space="preserve">The performance review and the remuneration for control </w:t>
      </w:r>
      <w:r w:rsidR="008D774B" w:rsidRPr="00DE68A1">
        <w:rPr>
          <w:rFonts w:eastAsia="Calibri"/>
        </w:rPr>
        <w:t>department</w:t>
      </w:r>
      <w:r w:rsidRPr="00DE68A1">
        <w:rPr>
          <w:rFonts w:eastAsia="Calibri"/>
        </w:rPr>
        <w:t xml:space="preserve">s such as Internal Audit and Risk Management </w:t>
      </w:r>
      <w:r w:rsidR="00BF1ECF" w:rsidRPr="00DE68A1">
        <w:rPr>
          <w:rFonts w:eastAsia="Calibri"/>
        </w:rPr>
        <w:t>are</w:t>
      </w:r>
      <w:r w:rsidRPr="00DE68A1">
        <w:rPr>
          <w:rFonts w:eastAsia="Calibri"/>
        </w:rPr>
        <w:t xml:space="preserve"> determined by the Board Audit Committee and the Board Risk Committee respectively. The performance criteria for the control </w:t>
      </w:r>
      <w:r w:rsidR="008D774B" w:rsidRPr="00DE68A1">
        <w:rPr>
          <w:rFonts w:eastAsia="Calibri"/>
        </w:rPr>
        <w:t>department</w:t>
      </w:r>
      <w:r w:rsidRPr="00DE68A1">
        <w:rPr>
          <w:rFonts w:eastAsia="Calibri"/>
        </w:rPr>
        <w:t xml:space="preserve">s are recorded through specific Key Performance Indicators or KPIs relevant for these </w:t>
      </w:r>
      <w:r w:rsidR="008D774B" w:rsidRPr="00DE68A1">
        <w:rPr>
          <w:rFonts w:eastAsia="Calibri"/>
        </w:rPr>
        <w:t>department</w:t>
      </w:r>
      <w:r w:rsidRPr="00DE68A1">
        <w:rPr>
          <w:rFonts w:eastAsia="Calibri"/>
        </w:rPr>
        <w:t xml:space="preserve">s and none of the KPIs are based on a business target such as revenue, profits or related targets. As per corporate governance principles, the control </w:t>
      </w:r>
      <w:r w:rsidR="008D774B" w:rsidRPr="00DE68A1">
        <w:rPr>
          <w:rFonts w:eastAsia="Calibri"/>
        </w:rPr>
        <w:t>department</w:t>
      </w:r>
      <w:r w:rsidRPr="00DE68A1">
        <w:rPr>
          <w:rFonts w:eastAsia="Calibri"/>
        </w:rPr>
        <w:t>s do not report to the CEO and the executive arm of the Bank but directly to the Board and the remuneration is determined accordingly.</w:t>
      </w:r>
    </w:p>
    <w:p w14:paraId="6FA890C9" w14:textId="77777777" w:rsidR="008935E4" w:rsidRPr="00DE68A1" w:rsidRDefault="008935E4" w:rsidP="008935E4">
      <w:pPr>
        <w:bidi w:val="0"/>
        <w:spacing w:after="200" w:line="276" w:lineRule="auto"/>
        <w:jc w:val="both"/>
        <w:rPr>
          <w:rFonts w:eastAsia="Calibri"/>
        </w:rPr>
      </w:pPr>
      <w:r w:rsidRPr="00DE68A1">
        <w:rPr>
          <w:rFonts w:eastAsia="Calibri"/>
        </w:rPr>
        <w:t xml:space="preserve">With respect to the determination of relationship between performance and levels of remuneration, the Bank has established adequate links and weights for individual performance, business unit performance and corporate performance according to the different levels of bank staff with assistance of the external consultants. Corporate performance in turn, takes measures relating to ROE, assets portfolio and defined risk measures. </w:t>
      </w:r>
    </w:p>
    <w:p w14:paraId="30C77524" w14:textId="132587A7" w:rsidR="008935E4" w:rsidRPr="00DE68A1" w:rsidRDefault="008935E4" w:rsidP="008935E4">
      <w:pPr>
        <w:bidi w:val="0"/>
        <w:spacing w:after="200" w:line="276" w:lineRule="auto"/>
        <w:jc w:val="both"/>
        <w:rPr>
          <w:rFonts w:eastAsia="Calibri"/>
        </w:rPr>
      </w:pPr>
      <w:r w:rsidRPr="00DE68A1">
        <w:rPr>
          <w:rFonts w:eastAsia="Calibri"/>
        </w:rPr>
        <w:lastRenderedPageBreak/>
        <w:t xml:space="preserve">Variable remuneration for senior staff has short term and </w:t>
      </w:r>
      <w:r w:rsidR="004B43D5" w:rsidRPr="00DE68A1">
        <w:rPr>
          <w:rFonts w:eastAsia="Calibri"/>
        </w:rPr>
        <w:t>long-term</w:t>
      </w:r>
      <w:r w:rsidRPr="00DE68A1">
        <w:rPr>
          <w:rFonts w:eastAsia="Calibri"/>
        </w:rPr>
        <w:t xml:space="preserve"> components. The </w:t>
      </w:r>
      <w:r w:rsidR="004B43D5" w:rsidRPr="00DE68A1">
        <w:rPr>
          <w:rFonts w:eastAsia="Calibri"/>
        </w:rPr>
        <w:t>long-term</w:t>
      </w:r>
      <w:r w:rsidRPr="00DE68A1">
        <w:rPr>
          <w:rFonts w:eastAsia="Calibri"/>
        </w:rPr>
        <w:t xml:space="preserve"> component is vested </w:t>
      </w:r>
      <w:r w:rsidR="0018286A" w:rsidRPr="00DE68A1">
        <w:rPr>
          <w:rFonts w:eastAsia="Calibri"/>
        </w:rPr>
        <w:t>3 years after</w:t>
      </w:r>
      <w:r w:rsidRPr="00DE68A1">
        <w:rPr>
          <w:rFonts w:eastAsia="Calibri"/>
        </w:rPr>
        <w:t xml:space="preserve"> the date of granting. The vesting amount may increase or decrease according to the </w:t>
      </w:r>
      <w:r w:rsidR="004B43D5" w:rsidRPr="00DE68A1">
        <w:rPr>
          <w:rFonts w:eastAsia="Calibri"/>
        </w:rPr>
        <w:t>3-year</w:t>
      </w:r>
      <w:r w:rsidRPr="00DE68A1">
        <w:rPr>
          <w:rFonts w:eastAsia="Calibri"/>
        </w:rPr>
        <w:t xml:space="preserve"> average performance in terms of EPS and risk measures. The Bank has only cash based variable remuneration and does not provide stock options or shares. Corporate performance targets have a ROE weight of 40%, asset portfolio performance of 30% and risk rating measure of 30%, as designed by E&amp;Y consultants. All staff of the Bank </w:t>
      </w:r>
      <w:r w:rsidR="0018286A" w:rsidRPr="00DE68A1">
        <w:rPr>
          <w:rFonts w:eastAsia="Calibri"/>
        </w:rPr>
        <w:t>are</w:t>
      </w:r>
      <w:r w:rsidRPr="00DE68A1">
        <w:rPr>
          <w:rFonts w:eastAsia="Calibri"/>
        </w:rPr>
        <w:t xml:space="preserve"> eligible for performance based variable incentives. Only senior management and staff are eligible for </w:t>
      </w:r>
      <w:r w:rsidR="0018286A" w:rsidRPr="00DE68A1">
        <w:rPr>
          <w:rFonts w:eastAsia="Calibri"/>
        </w:rPr>
        <w:t>long-term</w:t>
      </w:r>
      <w:r w:rsidRPr="00DE68A1">
        <w:rPr>
          <w:rFonts w:eastAsia="Calibri"/>
        </w:rPr>
        <w:t xml:space="preserve"> variable incentives. There </w:t>
      </w:r>
      <w:r w:rsidR="009945FF" w:rsidRPr="00DE68A1">
        <w:rPr>
          <w:rFonts w:eastAsia="Calibri"/>
        </w:rPr>
        <w:t>was</w:t>
      </w:r>
      <w:r w:rsidRPr="00DE68A1">
        <w:rPr>
          <w:rFonts w:eastAsia="Calibri"/>
        </w:rPr>
        <w:t xml:space="preserve"> no sign</w:t>
      </w:r>
      <w:r w:rsidR="00F12A08">
        <w:rPr>
          <w:rFonts w:eastAsia="Calibri"/>
        </w:rPr>
        <w:t xml:space="preserve"> </w:t>
      </w:r>
      <w:r w:rsidR="00FF1E49" w:rsidRPr="00DE68A1">
        <w:rPr>
          <w:rFonts w:eastAsia="Calibri"/>
        </w:rPr>
        <w:t>of</w:t>
      </w:r>
      <w:r w:rsidRPr="00DE68A1">
        <w:rPr>
          <w:rFonts w:eastAsia="Calibri"/>
        </w:rPr>
        <w:t xml:space="preserve"> awards provided </w:t>
      </w:r>
      <w:r w:rsidR="0018286A" w:rsidRPr="00DE68A1">
        <w:rPr>
          <w:rFonts w:eastAsia="Calibri"/>
        </w:rPr>
        <w:t>for</w:t>
      </w:r>
      <w:r w:rsidRPr="00DE68A1">
        <w:rPr>
          <w:rFonts w:eastAsia="Calibri"/>
        </w:rPr>
        <w:t xml:space="preserve"> any staff. </w:t>
      </w:r>
    </w:p>
    <w:p w14:paraId="6EE5C54F" w14:textId="0484414D" w:rsidR="008935E4" w:rsidRPr="00DE68A1" w:rsidRDefault="008935E4" w:rsidP="008935E4">
      <w:pPr>
        <w:bidi w:val="0"/>
        <w:spacing w:after="200" w:line="276" w:lineRule="auto"/>
        <w:jc w:val="both"/>
        <w:rPr>
          <w:rFonts w:eastAsia="Calibri"/>
        </w:rPr>
      </w:pPr>
      <w:r w:rsidRPr="00DE68A1">
        <w:rPr>
          <w:rFonts w:eastAsia="Calibri"/>
        </w:rPr>
        <w:t xml:space="preserve">Senior Management is defined as the CEO and his executive team </w:t>
      </w:r>
      <w:r w:rsidR="00CC1E02" w:rsidRPr="00DE68A1">
        <w:rPr>
          <w:rFonts w:eastAsia="Calibri"/>
        </w:rPr>
        <w:t>of DCEOs</w:t>
      </w:r>
      <w:r w:rsidRPr="00DE68A1">
        <w:rPr>
          <w:rFonts w:eastAsia="Calibri"/>
        </w:rPr>
        <w:t xml:space="preserve">.  Reporting to the CEO, is the DCEO – </w:t>
      </w:r>
      <w:r w:rsidR="0073242E" w:rsidRPr="00DE68A1">
        <w:rPr>
          <w:rFonts w:eastAsia="Calibri"/>
        </w:rPr>
        <w:t>Development Finance,</w:t>
      </w:r>
      <w:r w:rsidRPr="00DE68A1">
        <w:rPr>
          <w:rFonts w:eastAsia="Calibri"/>
        </w:rPr>
        <w:t xml:space="preserve"> the DCEO </w:t>
      </w:r>
      <w:r w:rsidR="00CC1E02" w:rsidRPr="00DE68A1">
        <w:rPr>
          <w:rFonts w:eastAsia="Calibri"/>
        </w:rPr>
        <w:t>– Commercial</w:t>
      </w:r>
      <w:r w:rsidR="00F95C2E" w:rsidRPr="00DE68A1">
        <w:rPr>
          <w:rFonts w:eastAsia="Calibri"/>
        </w:rPr>
        <w:t xml:space="preserve"> Banking and Investments</w:t>
      </w:r>
      <w:r w:rsidRPr="00DE68A1">
        <w:rPr>
          <w:rFonts w:eastAsia="Calibri"/>
        </w:rPr>
        <w:t xml:space="preserve">. Material risk takers include the heads of revenue generating business departments which </w:t>
      </w:r>
      <w:r w:rsidR="00CC1E02" w:rsidRPr="00DE68A1">
        <w:rPr>
          <w:rFonts w:eastAsia="Calibri"/>
        </w:rPr>
        <w:t>are Project</w:t>
      </w:r>
      <w:r w:rsidR="007B399A" w:rsidRPr="00DE68A1">
        <w:rPr>
          <w:rFonts w:eastAsia="Calibri"/>
        </w:rPr>
        <w:t xml:space="preserve"> Finance, Commercial </w:t>
      </w:r>
      <w:r w:rsidR="00CC1E02" w:rsidRPr="00DE68A1">
        <w:rPr>
          <w:rFonts w:eastAsia="Calibri"/>
        </w:rPr>
        <w:t>Banking, Direct</w:t>
      </w:r>
      <w:r w:rsidRPr="00DE68A1">
        <w:rPr>
          <w:rFonts w:eastAsia="Calibri"/>
        </w:rPr>
        <w:t xml:space="preserve"> Investments</w:t>
      </w:r>
      <w:r w:rsidR="007B399A" w:rsidRPr="00DE68A1">
        <w:rPr>
          <w:rFonts w:eastAsia="Calibri"/>
        </w:rPr>
        <w:t xml:space="preserve"> </w:t>
      </w:r>
      <w:r w:rsidR="00CC1E02" w:rsidRPr="00DE68A1">
        <w:rPr>
          <w:rFonts w:eastAsia="Calibri"/>
        </w:rPr>
        <w:t>and Treasury.</w:t>
      </w:r>
      <w:r w:rsidRPr="00DE68A1">
        <w:rPr>
          <w:rFonts w:eastAsia="Calibri"/>
        </w:rPr>
        <w:t xml:space="preserve"> </w:t>
      </w:r>
      <w:r w:rsidR="00DC7C13">
        <w:rPr>
          <w:rFonts w:eastAsia="Calibri"/>
        </w:rPr>
        <w:t>Control departments include t</w:t>
      </w:r>
      <w:r w:rsidR="00F12A08" w:rsidRPr="00DE68A1">
        <w:rPr>
          <w:rFonts w:eastAsia="Calibri"/>
        </w:rPr>
        <w:t>he Chief Risk Officer, Head of Internal Audit, Head of Financial Control Unit, Head of AML, Head of Accounts and the Compliance officer</w:t>
      </w:r>
      <w:r w:rsidRPr="00DE68A1">
        <w:rPr>
          <w:rFonts w:eastAsia="Calibri"/>
        </w:rPr>
        <w:t xml:space="preserve">. </w:t>
      </w:r>
    </w:p>
    <w:p w14:paraId="7FCF62BA" w14:textId="604F5251" w:rsidR="008935E4" w:rsidRPr="00DE68A1" w:rsidRDefault="008935E4" w:rsidP="00B14B62">
      <w:pPr>
        <w:bidi w:val="0"/>
        <w:spacing w:after="200" w:line="276" w:lineRule="auto"/>
        <w:rPr>
          <w:rFonts w:eastAsia="Calibri"/>
          <w:b/>
          <w:u w:val="single"/>
        </w:rPr>
      </w:pPr>
      <w:r w:rsidRPr="00DE68A1">
        <w:rPr>
          <w:rFonts w:eastAsia="Calibri"/>
          <w:b/>
          <w:u w:val="single"/>
        </w:rPr>
        <w:t xml:space="preserve">Remuneration paid in </w:t>
      </w:r>
      <w:r w:rsidR="00E01875" w:rsidRPr="00DE68A1">
        <w:rPr>
          <w:rFonts w:eastAsia="Calibri"/>
          <w:b/>
          <w:color w:val="000000" w:themeColor="text1"/>
          <w:u w:val="single"/>
        </w:rPr>
        <w:t>202</w:t>
      </w:r>
      <w:r w:rsidR="009B3450" w:rsidRPr="00DE68A1">
        <w:rPr>
          <w:rFonts w:eastAsia="Calibri"/>
          <w:b/>
          <w:color w:val="000000" w:themeColor="text1"/>
          <w:u w:val="single"/>
        </w:rPr>
        <w:t>5</w:t>
      </w:r>
      <w:r w:rsidR="00ED08F1" w:rsidRPr="00DE68A1">
        <w:rPr>
          <w:rFonts w:eastAsia="Calibri"/>
          <w:b/>
          <w:color w:val="000000" w:themeColor="text1"/>
          <w:u w:val="single"/>
        </w:rPr>
        <w:t xml:space="preserve"> </w:t>
      </w:r>
      <w:r w:rsidRPr="00DE68A1">
        <w:rPr>
          <w:rFonts w:eastAsia="Calibri"/>
          <w:b/>
          <w:u w:val="single"/>
        </w:rPr>
        <w:t>(in KD)</w:t>
      </w:r>
    </w:p>
    <w:p w14:paraId="520B83AA" w14:textId="0C091E00" w:rsidR="008935E4" w:rsidRPr="00DE68A1" w:rsidRDefault="008935E4" w:rsidP="0035385D">
      <w:pPr>
        <w:bidi w:val="0"/>
        <w:spacing w:after="200" w:line="276" w:lineRule="auto"/>
        <w:rPr>
          <w:rFonts w:eastAsia="Calibri"/>
          <w:bCs/>
        </w:rPr>
      </w:pPr>
      <w:r w:rsidRPr="00DE68A1">
        <w:rPr>
          <w:rFonts w:eastAsia="Calibri"/>
          <w:bCs/>
        </w:rPr>
        <w:t xml:space="preserve">Category 1: </w:t>
      </w:r>
      <w:r w:rsidR="00D0162F" w:rsidRPr="00DE68A1">
        <w:rPr>
          <w:rFonts w:eastAsia="Calibri"/>
          <w:bCs/>
        </w:rPr>
        <w:t xml:space="preserve">CEO &amp; </w:t>
      </w:r>
      <w:r w:rsidR="0041623F" w:rsidRPr="00DE68A1">
        <w:rPr>
          <w:rFonts w:eastAsia="Calibri"/>
          <w:bCs/>
        </w:rPr>
        <w:t>2 DCEOS + CTO</w:t>
      </w:r>
      <w:r w:rsidR="000B57AB" w:rsidRPr="00DE68A1">
        <w:rPr>
          <w:rFonts w:eastAsia="Calibri"/>
          <w:bCs/>
        </w:rPr>
        <w:t xml:space="preserve"> </w:t>
      </w:r>
      <w:r w:rsidR="008C4A3C" w:rsidRPr="00DE68A1">
        <w:rPr>
          <w:rFonts w:eastAsia="Calibri"/>
          <w:bCs/>
        </w:rPr>
        <w:t xml:space="preserve">- </w:t>
      </w:r>
      <w:r w:rsidR="008C4A3C" w:rsidRPr="008C4A3C">
        <w:rPr>
          <w:rFonts w:eastAsia="Calibri"/>
          <w:bCs/>
        </w:rPr>
        <w:t>4</w:t>
      </w:r>
      <w:r w:rsidR="0041623F" w:rsidRPr="00DE68A1">
        <w:rPr>
          <w:rFonts w:eastAsia="Calibri"/>
          <w:bCs/>
          <w:color w:val="FF0000"/>
        </w:rPr>
        <w:t xml:space="preserve"> </w:t>
      </w:r>
      <w:r w:rsidRPr="00DE68A1">
        <w:rPr>
          <w:rFonts w:eastAsia="Calibri"/>
          <w:bCs/>
        </w:rPr>
        <w:t>employees</w:t>
      </w:r>
    </w:p>
    <w:tbl>
      <w:tblPr>
        <w:tblW w:w="6420" w:type="dxa"/>
        <w:tblInd w:w="-15" w:type="dxa"/>
        <w:tblCellMar>
          <w:left w:w="0" w:type="dxa"/>
          <w:right w:w="0" w:type="dxa"/>
        </w:tblCellMar>
        <w:tblLook w:val="04A0" w:firstRow="1" w:lastRow="0" w:firstColumn="1" w:lastColumn="0" w:noHBand="0" w:noVBand="1"/>
      </w:tblPr>
      <w:tblGrid>
        <w:gridCol w:w="2420"/>
        <w:gridCol w:w="2080"/>
        <w:gridCol w:w="1920"/>
      </w:tblGrid>
      <w:tr w:rsidR="008935E4" w:rsidRPr="00DE68A1" w14:paraId="53ACC041" w14:textId="77777777" w:rsidTr="00F83753">
        <w:trPr>
          <w:trHeight w:val="315"/>
        </w:trPr>
        <w:tc>
          <w:tcPr>
            <w:tcW w:w="2420" w:type="dxa"/>
            <w:tcBorders>
              <w:bottom w:val="single" w:sz="4" w:space="0" w:color="auto"/>
            </w:tcBorders>
            <w:noWrap/>
            <w:tcMar>
              <w:top w:w="0" w:type="dxa"/>
              <w:left w:w="108" w:type="dxa"/>
              <w:bottom w:w="0" w:type="dxa"/>
              <w:right w:w="108" w:type="dxa"/>
            </w:tcMar>
            <w:vAlign w:val="bottom"/>
            <w:hideMark/>
          </w:tcPr>
          <w:p w14:paraId="1EC6E19C" w14:textId="77777777" w:rsidR="008935E4" w:rsidRPr="00DE68A1" w:rsidRDefault="008935E4" w:rsidP="00073914">
            <w:pPr>
              <w:bidi w:val="0"/>
              <w:rPr>
                <w:rFonts w:eastAsia="Calibri"/>
                <w:color w:val="000000"/>
                <w:sz w:val="22"/>
                <w:szCs w:val="22"/>
              </w:rPr>
            </w:pPr>
            <w:r w:rsidRPr="00DE68A1">
              <w:rPr>
                <w:rFonts w:eastAsia="Calibri"/>
                <w:color w:val="000000"/>
                <w:sz w:val="22"/>
                <w:szCs w:val="22"/>
              </w:rPr>
              <w:t>Fixed</w:t>
            </w:r>
          </w:p>
        </w:tc>
        <w:tc>
          <w:tcPr>
            <w:tcW w:w="2080" w:type="dxa"/>
            <w:tcBorders>
              <w:bottom w:val="single" w:sz="4" w:space="0" w:color="auto"/>
            </w:tcBorders>
            <w:noWrap/>
            <w:tcMar>
              <w:top w:w="0" w:type="dxa"/>
              <w:left w:w="108" w:type="dxa"/>
              <w:bottom w:w="0" w:type="dxa"/>
              <w:right w:w="108" w:type="dxa"/>
            </w:tcMar>
            <w:vAlign w:val="bottom"/>
            <w:hideMark/>
          </w:tcPr>
          <w:p w14:paraId="4EC9D0C6" w14:textId="77777777" w:rsidR="008935E4" w:rsidRPr="00DE68A1" w:rsidRDefault="008935E4" w:rsidP="00073914">
            <w:pPr>
              <w:rPr>
                <w:rFonts w:eastAsia="Calibri"/>
                <w:color w:val="000000"/>
                <w:sz w:val="22"/>
                <w:szCs w:val="22"/>
              </w:rPr>
            </w:pPr>
          </w:p>
        </w:tc>
        <w:tc>
          <w:tcPr>
            <w:tcW w:w="1920" w:type="dxa"/>
            <w:tcBorders>
              <w:bottom w:val="single" w:sz="4" w:space="0" w:color="auto"/>
            </w:tcBorders>
            <w:noWrap/>
            <w:tcMar>
              <w:top w:w="0" w:type="dxa"/>
              <w:left w:w="108" w:type="dxa"/>
              <w:bottom w:w="0" w:type="dxa"/>
              <w:right w:w="108" w:type="dxa"/>
            </w:tcMar>
            <w:vAlign w:val="bottom"/>
            <w:hideMark/>
          </w:tcPr>
          <w:p w14:paraId="2F5B1120" w14:textId="77777777" w:rsidR="008935E4" w:rsidRPr="00DE68A1" w:rsidRDefault="008935E4" w:rsidP="00073914">
            <w:pPr>
              <w:bidi w:val="0"/>
              <w:rPr>
                <w:sz w:val="20"/>
                <w:szCs w:val="20"/>
              </w:rPr>
            </w:pPr>
          </w:p>
        </w:tc>
      </w:tr>
      <w:tr w:rsidR="008935E4" w:rsidRPr="00DE68A1" w14:paraId="60CD942F" w14:textId="77777777" w:rsidTr="00F83753">
        <w:trPr>
          <w:trHeight w:val="315"/>
        </w:trPr>
        <w:tc>
          <w:tcPr>
            <w:tcW w:w="24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5587055" w14:textId="77777777" w:rsidR="008935E4" w:rsidRPr="00DE68A1" w:rsidRDefault="008935E4" w:rsidP="00073914">
            <w:pPr>
              <w:bidi w:val="0"/>
              <w:jc w:val="center"/>
              <w:rPr>
                <w:rFonts w:eastAsia="Calibri"/>
                <w:color w:val="000000"/>
                <w:sz w:val="22"/>
                <w:szCs w:val="22"/>
              </w:rPr>
            </w:pPr>
            <w:r w:rsidRPr="00DE68A1">
              <w:rPr>
                <w:rFonts w:eastAsia="Calibri"/>
                <w:color w:val="000000"/>
                <w:sz w:val="22"/>
                <w:szCs w:val="22"/>
              </w:rPr>
              <w:t>Unrestricted Cash-based</w:t>
            </w:r>
          </w:p>
        </w:tc>
        <w:tc>
          <w:tcPr>
            <w:tcW w:w="2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CDA23E0" w14:textId="77777777" w:rsidR="008935E4" w:rsidRPr="00DE68A1" w:rsidRDefault="008935E4" w:rsidP="00073914">
            <w:pPr>
              <w:bidi w:val="0"/>
              <w:jc w:val="center"/>
              <w:rPr>
                <w:rFonts w:eastAsia="Calibri"/>
                <w:color w:val="000000"/>
                <w:sz w:val="22"/>
                <w:szCs w:val="22"/>
              </w:rPr>
            </w:pPr>
            <w:r w:rsidRPr="00DE68A1">
              <w:rPr>
                <w:rFonts w:eastAsia="Calibri"/>
                <w:color w:val="000000"/>
                <w:sz w:val="22"/>
                <w:szCs w:val="22"/>
              </w:rPr>
              <w:t>Deferred Cash-based</w:t>
            </w:r>
          </w:p>
        </w:tc>
        <w:tc>
          <w:tcPr>
            <w:tcW w:w="19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79F2EA6" w14:textId="77777777" w:rsidR="008935E4" w:rsidRPr="00DE68A1" w:rsidRDefault="008935E4" w:rsidP="00073914">
            <w:pPr>
              <w:bidi w:val="0"/>
              <w:jc w:val="center"/>
              <w:rPr>
                <w:rFonts w:eastAsia="Calibri"/>
                <w:color w:val="000000"/>
                <w:sz w:val="22"/>
                <w:szCs w:val="22"/>
              </w:rPr>
            </w:pPr>
            <w:r w:rsidRPr="00DE68A1">
              <w:rPr>
                <w:rFonts w:eastAsia="Calibri"/>
                <w:color w:val="000000"/>
                <w:sz w:val="22"/>
                <w:szCs w:val="22"/>
              </w:rPr>
              <w:t xml:space="preserve">Unrestricted Other </w:t>
            </w:r>
          </w:p>
        </w:tc>
      </w:tr>
      <w:tr w:rsidR="00050709" w:rsidRPr="00DE68A1" w14:paraId="53806864" w14:textId="77777777" w:rsidTr="009422EF">
        <w:trPr>
          <w:trHeight w:val="315"/>
        </w:trPr>
        <w:tc>
          <w:tcPr>
            <w:tcW w:w="24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9BAAEE8" w14:textId="3ECDCDA5" w:rsidR="00050709" w:rsidRPr="009422EF" w:rsidRDefault="00050709" w:rsidP="009422EF">
            <w:pPr>
              <w:bidi w:val="0"/>
              <w:jc w:val="center"/>
              <w:rPr>
                <w:rFonts w:asciiTheme="majorBidi" w:hAnsiTheme="majorBidi" w:cstheme="majorBidi"/>
                <w:color w:val="000000"/>
                <w:sz w:val="18"/>
                <w:szCs w:val="18"/>
              </w:rPr>
            </w:pPr>
            <w:r w:rsidRPr="009422EF">
              <w:rPr>
                <w:rFonts w:asciiTheme="majorBidi" w:hAnsiTheme="majorBidi" w:cstheme="majorBidi"/>
                <w:color w:val="000000"/>
                <w:sz w:val="22"/>
                <w:szCs w:val="22"/>
              </w:rPr>
              <w:t>393</w:t>
            </w:r>
            <w:r w:rsidR="00EA4A04" w:rsidRPr="009422EF">
              <w:rPr>
                <w:rFonts w:asciiTheme="majorBidi" w:hAnsiTheme="majorBidi" w:cstheme="majorBidi"/>
                <w:color w:val="000000"/>
                <w:sz w:val="22"/>
                <w:szCs w:val="22"/>
              </w:rPr>
              <w:t>,</w:t>
            </w:r>
            <w:r w:rsidRPr="009422EF">
              <w:rPr>
                <w:rFonts w:asciiTheme="majorBidi" w:hAnsiTheme="majorBidi" w:cstheme="majorBidi"/>
                <w:color w:val="000000"/>
                <w:sz w:val="22"/>
                <w:szCs w:val="22"/>
              </w:rPr>
              <w:t>460</w:t>
            </w:r>
          </w:p>
        </w:tc>
        <w:tc>
          <w:tcPr>
            <w:tcW w:w="2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9D4E056" w14:textId="7856FBD8" w:rsidR="00050709" w:rsidRPr="009422EF" w:rsidRDefault="00050709" w:rsidP="009422EF">
            <w:pPr>
              <w:bidi w:val="0"/>
              <w:jc w:val="center"/>
              <w:rPr>
                <w:rFonts w:asciiTheme="majorBidi" w:hAnsiTheme="majorBidi" w:cstheme="majorBidi"/>
                <w:color w:val="000000"/>
                <w:sz w:val="18"/>
                <w:szCs w:val="18"/>
              </w:rPr>
            </w:pPr>
            <w:r w:rsidRPr="009422EF">
              <w:rPr>
                <w:rFonts w:asciiTheme="majorBidi" w:hAnsiTheme="majorBidi" w:cstheme="majorBidi"/>
                <w:color w:val="000000"/>
                <w:sz w:val="22"/>
                <w:szCs w:val="22"/>
              </w:rPr>
              <w:t>6</w:t>
            </w:r>
            <w:r w:rsidR="00EA4A04" w:rsidRPr="009422EF">
              <w:rPr>
                <w:rFonts w:asciiTheme="majorBidi" w:hAnsiTheme="majorBidi" w:cstheme="majorBidi"/>
                <w:color w:val="000000"/>
                <w:sz w:val="22"/>
                <w:szCs w:val="22"/>
              </w:rPr>
              <w:t>,</w:t>
            </w:r>
            <w:r w:rsidRPr="009422EF">
              <w:rPr>
                <w:rFonts w:asciiTheme="majorBidi" w:hAnsiTheme="majorBidi" w:cstheme="majorBidi"/>
                <w:color w:val="000000"/>
                <w:sz w:val="22"/>
                <w:szCs w:val="22"/>
              </w:rPr>
              <w:t>147</w:t>
            </w:r>
          </w:p>
        </w:tc>
        <w:tc>
          <w:tcPr>
            <w:tcW w:w="19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6AF05DB" w14:textId="3C08838E" w:rsidR="00050709" w:rsidRPr="009422EF" w:rsidRDefault="00050709" w:rsidP="009422EF">
            <w:pPr>
              <w:bidi w:val="0"/>
              <w:jc w:val="center"/>
              <w:rPr>
                <w:rFonts w:asciiTheme="majorBidi" w:hAnsiTheme="majorBidi" w:cstheme="majorBidi"/>
                <w:color w:val="000000"/>
                <w:sz w:val="18"/>
                <w:szCs w:val="18"/>
              </w:rPr>
            </w:pPr>
            <w:r w:rsidRPr="009422EF">
              <w:rPr>
                <w:rFonts w:asciiTheme="majorBidi" w:hAnsiTheme="majorBidi" w:cstheme="majorBidi"/>
                <w:color w:val="000000"/>
                <w:sz w:val="22"/>
                <w:szCs w:val="22"/>
              </w:rPr>
              <w:t>39</w:t>
            </w:r>
            <w:r w:rsidR="00EA4A04" w:rsidRPr="009422EF">
              <w:rPr>
                <w:rFonts w:asciiTheme="majorBidi" w:hAnsiTheme="majorBidi" w:cstheme="majorBidi"/>
                <w:color w:val="000000"/>
                <w:sz w:val="22"/>
                <w:szCs w:val="22"/>
              </w:rPr>
              <w:t>,</w:t>
            </w:r>
            <w:r w:rsidRPr="009422EF">
              <w:rPr>
                <w:rFonts w:asciiTheme="majorBidi" w:hAnsiTheme="majorBidi" w:cstheme="majorBidi"/>
                <w:color w:val="000000"/>
                <w:sz w:val="22"/>
                <w:szCs w:val="22"/>
              </w:rPr>
              <w:t>923</w:t>
            </w:r>
          </w:p>
        </w:tc>
      </w:tr>
      <w:tr w:rsidR="00D567DC" w:rsidRPr="00DE68A1" w14:paraId="644656D3" w14:textId="77777777" w:rsidTr="008C4A3C">
        <w:trPr>
          <w:trHeight w:val="315"/>
        </w:trPr>
        <w:tc>
          <w:tcPr>
            <w:tcW w:w="2420" w:type="dxa"/>
            <w:tcBorders>
              <w:top w:val="single" w:sz="4" w:space="0" w:color="auto"/>
              <w:bottom w:val="single" w:sz="4" w:space="0" w:color="auto"/>
            </w:tcBorders>
            <w:noWrap/>
            <w:tcMar>
              <w:top w:w="0" w:type="dxa"/>
              <w:left w:w="108" w:type="dxa"/>
              <w:bottom w:w="0" w:type="dxa"/>
              <w:right w:w="108" w:type="dxa"/>
            </w:tcMar>
            <w:vAlign w:val="bottom"/>
          </w:tcPr>
          <w:p w14:paraId="0031A943" w14:textId="21514F77" w:rsidR="00D567DC" w:rsidRPr="00DE68A1" w:rsidRDefault="00D567DC" w:rsidP="00D567DC">
            <w:pPr>
              <w:bidi w:val="0"/>
              <w:rPr>
                <w:rFonts w:eastAsia="Calibri"/>
                <w:color w:val="000000"/>
                <w:sz w:val="22"/>
                <w:szCs w:val="22"/>
              </w:rPr>
            </w:pPr>
          </w:p>
        </w:tc>
        <w:tc>
          <w:tcPr>
            <w:tcW w:w="2080" w:type="dxa"/>
            <w:tcBorders>
              <w:top w:val="single" w:sz="4" w:space="0" w:color="auto"/>
              <w:bottom w:val="single" w:sz="4" w:space="0" w:color="auto"/>
            </w:tcBorders>
            <w:noWrap/>
            <w:tcMar>
              <w:top w:w="0" w:type="dxa"/>
              <w:left w:w="108" w:type="dxa"/>
              <w:bottom w:w="0" w:type="dxa"/>
              <w:right w:w="108" w:type="dxa"/>
            </w:tcMar>
            <w:vAlign w:val="bottom"/>
          </w:tcPr>
          <w:p w14:paraId="0C371628" w14:textId="5ADE683A" w:rsidR="00D567DC" w:rsidRPr="00DE68A1" w:rsidRDefault="00D567DC" w:rsidP="00D567DC">
            <w:pPr>
              <w:rPr>
                <w:rFonts w:eastAsia="Calibri"/>
                <w:color w:val="000000"/>
                <w:sz w:val="22"/>
                <w:szCs w:val="22"/>
              </w:rPr>
            </w:pPr>
          </w:p>
        </w:tc>
        <w:tc>
          <w:tcPr>
            <w:tcW w:w="1920" w:type="dxa"/>
            <w:tcBorders>
              <w:top w:val="single" w:sz="4" w:space="0" w:color="auto"/>
              <w:bottom w:val="single" w:sz="4" w:space="0" w:color="auto"/>
            </w:tcBorders>
            <w:noWrap/>
            <w:tcMar>
              <w:top w:w="0" w:type="dxa"/>
              <w:left w:w="108" w:type="dxa"/>
              <w:bottom w:w="0" w:type="dxa"/>
              <w:right w:w="108" w:type="dxa"/>
            </w:tcMar>
            <w:vAlign w:val="bottom"/>
          </w:tcPr>
          <w:p w14:paraId="3859B375" w14:textId="60CE068E" w:rsidR="00D567DC" w:rsidRPr="00DE68A1" w:rsidRDefault="00D567DC" w:rsidP="00D567DC">
            <w:pPr>
              <w:bidi w:val="0"/>
              <w:rPr>
                <w:sz w:val="20"/>
                <w:szCs w:val="20"/>
              </w:rPr>
            </w:pPr>
          </w:p>
        </w:tc>
      </w:tr>
      <w:tr w:rsidR="008935E4" w:rsidRPr="00DE68A1" w14:paraId="31F7F225" w14:textId="77777777" w:rsidTr="00F83753">
        <w:trPr>
          <w:trHeight w:val="315"/>
        </w:trPr>
        <w:tc>
          <w:tcPr>
            <w:tcW w:w="24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97DCA92" w14:textId="77777777" w:rsidR="008935E4" w:rsidRPr="00DE68A1" w:rsidRDefault="008935E4" w:rsidP="00073914">
            <w:pPr>
              <w:bidi w:val="0"/>
              <w:jc w:val="center"/>
              <w:rPr>
                <w:rFonts w:eastAsia="Calibri"/>
                <w:color w:val="000000"/>
                <w:sz w:val="22"/>
                <w:szCs w:val="22"/>
              </w:rPr>
            </w:pPr>
            <w:r w:rsidRPr="00DE68A1">
              <w:rPr>
                <w:rFonts w:eastAsia="Calibri"/>
                <w:color w:val="000000"/>
                <w:sz w:val="22"/>
                <w:szCs w:val="22"/>
              </w:rPr>
              <w:t>Unrestricted Cash-based</w:t>
            </w:r>
          </w:p>
        </w:tc>
        <w:tc>
          <w:tcPr>
            <w:tcW w:w="2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9D12EC9" w14:textId="77777777" w:rsidR="008935E4" w:rsidRPr="00DE68A1" w:rsidRDefault="008935E4" w:rsidP="00073914">
            <w:pPr>
              <w:bidi w:val="0"/>
              <w:jc w:val="center"/>
              <w:rPr>
                <w:rFonts w:eastAsia="Calibri"/>
                <w:color w:val="000000"/>
                <w:sz w:val="22"/>
                <w:szCs w:val="22"/>
              </w:rPr>
            </w:pPr>
            <w:r w:rsidRPr="00DE68A1">
              <w:rPr>
                <w:rFonts w:eastAsia="Calibri"/>
                <w:color w:val="000000"/>
                <w:sz w:val="22"/>
                <w:szCs w:val="22"/>
              </w:rPr>
              <w:t>Deferred Cash-based</w:t>
            </w:r>
          </w:p>
        </w:tc>
        <w:tc>
          <w:tcPr>
            <w:tcW w:w="19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8FCB6A7" w14:textId="77777777" w:rsidR="008935E4" w:rsidRPr="00DE68A1" w:rsidRDefault="008935E4" w:rsidP="00073914">
            <w:pPr>
              <w:bidi w:val="0"/>
              <w:jc w:val="center"/>
              <w:rPr>
                <w:rFonts w:eastAsia="Calibri"/>
                <w:color w:val="000000"/>
                <w:sz w:val="22"/>
                <w:szCs w:val="22"/>
              </w:rPr>
            </w:pPr>
            <w:r w:rsidRPr="00DE68A1">
              <w:rPr>
                <w:rFonts w:eastAsia="Calibri"/>
                <w:color w:val="000000"/>
                <w:sz w:val="22"/>
                <w:szCs w:val="22"/>
              </w:rPr>
              <w:t xml:space="preserve">Unrestricted Other </w:t>
            </w:r>
          </w:p>
        </w:tc>
      </w:tr>
      <w:tr w:rsidR="008935E4" w:rsidRPr="00DE68A1" w14:paraId="2EC694F3" w14:textId="77777777" w:rsidTr="00F83753">
        <w:trPr>
          <w:trHeight w:val="277"/>
        </w:trPr>
        <w:tc>
          <w:tcPr>
            <w:tcW w:w="24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011483E" w14:textId="77777777" w:rsidR="008935E4" w:rsidRPr="009422EF" w:rsidRDefault="008935E4" w:rsidP="00073914">
            <w:pPr>
              <w:bidi w:val="0"/>
              <w:jc w:val="center"/>
              <w:rPr>
                <w:rFonts w:asciiTheme="majorBidi" w:hAnsiTheme="majorBidi" w:cstheme="majorBidi"/>
                <w:color w:val="000000"/>
                <w:sz w:val="22"/>
                <w:szCs w:val="22"/>
              </w:rPr>
            </w:pPr>
            <w:r w:rsidRPr="009422EF">
              <w:rPr>
                <w:rFonts w:asciiTheme="majorBidi" w:hAnsiTheme="majorBidi" w:cstheme="majorBidi"/>
                <w:color w:val="000000"/>
                <w:sz w:val="22"/>
                <w:szCs w:val="22"/>
              </w:rPr>
              <w:t> </w:t>
            </w:r>
          </w:p>
        </w:tc>
        <w:tc>
          <w:tcPr>
            <w:tcW w:w="2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20D1AFD" w14:textId="388F859F" w:rsidR="008935E4" w:rsidRPr="009422EF" w:rsidRDefault="00050709" w:rsidP="00D7056D">
            <w:pPr>
              <w:bidi w:val="0"/>
              <w:jc w:val="center"/>
              <w:rPr>
                <w:rFonts w:asciiTheme="majorBidi" w:hAnsiTheme="majorBidi" w:cstheme="majorBidi"/>
                <w:color w:val="000000"/>
                <w:sz w:val="22"/>
                <w:szCs w:val="22"/>
              </w:rPr>
            </w:pPr>
            <w:r w:rsidRPr="009422EF">
              <w:rPr>
                <w:rFonts w:asciiTheme="majorBidi" w:hAnsiTheme="majorBidi" w:cstheme="majorBidi"/>
                <w:color w:val="000000"/>
                <w:sz w:val="22"/>
                <w:szCs w:val="22"/>
              </w:rPr>
              <w:t>502</w:t>
            </w:r>
            <w:r w:rsidR="00EA4A04" w:rsidRPr="009422EF">
              <w:rPr>
                <w:rFonts w:asciiTheme="majorBidi" w:hAnsiTheme="majorBidi" w:cstheme="majorBidi"/>
                <w:color w:val="000000"/>
                <w:sz w:val="22"/>
                <w:szCs w:val="22"/>
              </w:rPr>
              <w:t>,</w:t>
            </w:r>
            <w:r w:rsidRPr="009422EF">
              <w:rPr>
                <w:rFonts w:asciiTheme="majorBidi" w:hAnsiTheme="majorBidi" w:cstheme="majorBidi"/>
                <w:color w:val="000000"/>
                <w:sz w:val="22"/>
                <w:szCs w:val="22"/>
              </w:rPr>
              <w:t>602</w:t>
            </w:r>
          </w:p>
        </w:tc>
        <w:tc>
          <w:tcPr>
            <w:tcW w:w="19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BD112AF" w14:textId="77777777" w:rsidR="008935E4" w:rsidRPr="009422EF" w:rsidRDefault="008935E4" w:rsidP="00073914">
            <w:pPr>
              <w:bidi w:val="0"/>
              <w:jc w:val="center"/>
              <w:rPr>
                <w:rFonts w:asciiTheme="majorBidi" w:hAnsiTheme="majorBidi" w:cstheme="majorBidi"/>
                <w:color w:val="000000"/>
                <w:sz w:val="22"/>
                <w:szCs w:val="22"/>
              </w:rPr>
            </w:pPr>
            <w:r w:rsidRPr="009422EF">
              <w:rPr>
                <w:rFonts w:asciiTheme="majorBidi" w:hAnsiTheme="majorBidi" w:cstheme="majorBidi"/>
                <w:color w:val="000000"/>
                <w:sz w:val="22"/>
                <w:szCs w:val="22"/>
              </w:rPr>
              <w:t> </w:t>
            </w:r>
          </w:p>
        </w:tc>
      </w:tr>
    </w:tbl>
    <w:p w14:paraId="134D02CD" w14:textId="77777777" w:rsidR="008935E4" w:rsidRPr="00DE68A1" w:rsidRDefault="008935E4" w:rsidP="008935E4">
      <w:pPr>
        <w:bidi w:val="0"/>
        <w:rPr>
          <w:rFonts w:eastAsia="Calibri"/>
          <w:color w:val="1F497D"/>
        </w:rPr>
      </w:pPr>
    </w:p>
    <w:p w14:paraId="0C7121C2" w14:textId="623BA033" w:rsidR="008935E4" w:rsidRPr="00DE68A1" w:rsidRDefault="008935E4" w:rsidP="0035385D">
      <w:pPr>
        <w:bidi w:val="0"/>
        <w:rPr>
          <w:rFonts w:eastAsia="Calibri"/>
        </w:rPr>
      </w:pPr>
      <w:r w:rsidRPr="00DE68A1">
        <w:rPr>
          <w:rFonts w:eastAsia="Calibri"/>
        </w:rPr>
        <w:t xml:space="preserve">Category 2: </w:t>
      </w:r>
      <w:r w:rsidR="00F65F54" w:rsidRPr="00DE68A1">
        <w:rPr>
          <w:rFonts w:eastAsia="Calibri"/>
        </w:rPr>
        <w:t xml:space="preserve">Material Risk Takers - </w:t>
      </w:r>
      <w:r w:rsidR="008D15BF" w:rsidRPr="00DE68A1">
        <w:rPr>
          <w:rFonts w:eastAsia="Calibri"/>
        </w:rPr>
        <w:t xml:space="preserve">6 </w:t>
      </w:r>
      <w:r w:rsidRPr="00DE68A1">
        <w:rPr>
          <w:rFonts w:eastAsia="Calibri"/>
        </w:rPr>
        <w:t>employees</w:t>
      </w:r>
    </w:p>
    <w:tbl>
      <w:tblPr>
        <w:tblpPr w:leftFromText="180" w:rightFromText="180" w:vertAnchor="text" w:horzAnchor="margin" w:tblpY="135"/>
        <w:tblW w:w="6445" w:type="dxa"/>
        <w:tblCellMar>
          <w:left w:w="0" w:type="dxa"/>
          <w:right w:w="0" w:type="dxa"/>
        </w:tblCellMar>
        <w:tblLook w:val="04A0" w:firstRow="1" w:lastRow="0" w:firstColumn="1" w:lastColumn="0" w:noHBand="0" w:noVBand="1"/>
      </w:tblPr>
      <w:tblGrid>
        <w:gridCol w:w="2430"/>
        <w:gridCol w:w="2088"/>
        <w:gridCol w:w="1927"/>
      </w:tblGrid>
      <w:tr w:rsidR="006A6854" w:rsidRPr="00DE68A1" w14:paraId="7B417AA5" w14:textId="77777777" w:rsidTr="00F83753">
        <w:trPr>
          <w:trHeight w:val="315"/>
        </w:trPr>
        <w:tc>
          <w:tcPr>
            <w:tcW w:w="2430" w:type="dxa"/>
            <w:tcBorders>
              <w:bottom w:val="single" w:sz="4" w:space="0" w:color="auto"/>
            </w:tcBorders>
            <w:noWrap/>
            <w:tcMar>
              <w:top w:w="0" w:type="dxa"/>
              <w:left w:w="108" w:type="dxa"/>
              <w:bottom w:w="0" w:type="dxa"/>
              <w:right w:w="108" w:type="dxa"/>
            </w:tcMar>
            <w:vAlign w:val="bottom"/>
            <w:hideMark/>
          </w:tcPr>
          <w:p w14:paraId="6C20E407" w14:textId="77777777" w:rsidR="006A6854" w:rsidRPr="00DE68A1" w:rsidRDefault="006A6854" w:rsidP="006A6854">
            <w:pPr>
              <w:jc w:val="right"/>
              <w:rPr>
                <w:color w:val="000000"/>
                <w:sz w:val="22"/>
                <w:szCs w:val="22"/>
              </w:rPr>
            </w:pPr>
            <w:r w:rsidRPr="00DE68A1">
              <w:rPr>
                <w:color w:val="000000"/>
              </w:rPr>
              <w:t>Fixed</w:t>
            </w:r>
          </w:p>
        </w:tc>
        <w:tc>
          <w:tcPr>
            <w:tcW w:w="2088" w:type="dxa"/>
            <w:tcBorders>
              <w:bottom w:val="single" w:sz="4" w:space="0" w:color="auto"/>
            </w:tcBorders>
            <w:noWrap/>
            <w:tcMar>
              <w:top w:w="0" w:type="dxa"/>
              <w:left w:w="108" w:type="dxa"/>
              <w:bottom w:w="0" w:type="dxa"/>
              <w:right w:w="108" w:type="dxa"/>
            </w:tcMar>
            <w:vAlign w:val="bottom"/>
            <w:hideMark/>
          </w:tcPr>
          <w:p w14:paraId="44D8E2D8" w14:textId="77777777" w:rsidR="006A6854" w:rsidRPr="00DE68A1" w:rsidRDefault="006A6854" w:rsidP="006A6854">
            <w:pPr>
              <w:rPr>
                <w:color w:val="000000"/>
              </w:rPr>
            </w:pPr>
          </w:p>
        </w:tc>
        <w:tc>
          <w:tcPr>
            <w:tcW w:w="1927" w:type="dxa"/>
            <w:tcBorders>
              <w:bottom w:val="single" w:sz="4" w:space="0" w:color="auto"/>
            </w:tcBorders>
            <w:noWrap/>
            <w:tcMar>
              <w:top w:w="0" w:type="dxa"/>
              <w:left w:w="108" w:type="dxa"/>
              <w:bottom w:w="0" w:type="dxa"/>
              <w:right w:w="108" w:type="dxa"/>
            </w:tcMar>
            <w:vAlign w:val="bottom"/>
            <w:hideMark/>
          </w:tcPr>
          <w:p w14:paraId="4F834D83" w14:textId="77777777" w:rsidR="006A6854" w:rsidRPr="00DE68A1" w:rsidRDefault="006A6854" w:rsidP="006A6854">
            <w:pPr>
              <w:rPr>
                <w:sz w:val="20"/>
                <w:szCs w:val="20"/>
              </w:rPr>
            </w:pPr>
          </w:p>
        </w:tc>
      </w:tr>
      <w:tr w:rsidR="006A6854" w:rsidRPr="00DE68A1" w14:paraId="3FC8DC05" w14:textId="77777777" w:rsidTr="00F83753">
        <w:trPr>
          <w:trHeight w:val="315"/>
        </w:trPr>
        <w:tc>
          <w:tcPr>
            <w:tcW w:w="24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A0B06E7" w14:textId="77777777" w:rsidR="006A6854" w:rsidRPr="00DE68A1" w:rsidRDefault="006A6854" w:rsidP="006A6854">
            <w:pPr>
              <w:bidi w:val="0"/>
              <w:jc w:val="center"/>
              <w:rPr>
                <w:rFonts w:eastAsia="Calibri"/>
                <w:color w:val="000000"/>
                <w:sz w:val="22"/>
                <w:szCs w:val="22"/>
              </w:rPr>
            </w:pPr>
            <w:r w:rsidRPr="00DE68A1">
              <w:rPr>
                <w:rFonts w:eastAsia="Calibri"/>
                <w:color w:val="000000"/>
                <w:sz w:val="22"/>
                <w:szCs w:val="22"/>
              </w:rPr>
              <w:t>Unrestricted Cash-based</w:t>
            </w:r>
          </w:p>
        </w:tc>
        <w:tc>
          <w:tcPr>
            <w:tcW w:w="20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414823E" w14:textId="77777777" w:rsidR="006A6854" w:rsidRPr="00DE68A1" w:rsidRDefault="006A6854" w:rsidP="006A6854">
            <w:pPr>
              <w:bidi w:val="0"/>
              <w:jc w:val="center"/>
              <w:rPr>
                <w:rFonts w:eastAsia="Calibri"/>
                <w:color w:val="000000"/>
                <w:sz w:val="22"/>
                <w:szCs w:val="22"/>
              </w:rPr>
            </w:pPr>
            <w:r w:rsidRPr="00DE68A1">
              <w:rPr>
                <w:rFonts w:eastAsia="Calibri"/>
                <w:color w:val="000000"/>
                <w:sz w:val="22"/>
                <w:szCs w:val="22"/>
              </w:rPr>
              <w:t>Deferred Cash-based</w:t>
            </w:r>
          </w:p>
        </w:tc>
        <w:tc>
          <w:tcPr>
            <w:tcW w:w="192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1D55274" w14:textId="77777777" w:rsidR="006A6854" w:rsidRPr="00DE68A1" w:rsidRDefault="006A6854" w:rsidP="006A6854">
            <w:pPr>
              <w:bidi w:val="0"/>
              <w:jc w:val="center"/>
              <w:rPr>
                <w:rFonts w:eastAsia="Calibri"/>
                <w:color w:val="000000"/>
                <w:sz w:val="22"/>
                <w:szCs w:val="22"/>
              </w:rPr>
            </w:pPr>
            <w:r w:rsidRPr="00DE68A1">
              <w:rPr>
                <w:rFonts w:eastAsia="Calibri"/>
                <w:color w:val="000000"/>
                <w:sz w:val="22"/>
                <w:szCs w:val="22"/>
              </w:rPr>
              <w:t xml:space="preserve">Unrestricted Other </w:t>
            </w:r>
          </w:p>
        </w:tc>
      </w:tr>
      <w:tr w:rsidR="00050709" w:rsidRPr="00DE68A1" w14:paraId="59E30EFA" w14:textId="77777777" w:rsidTr="009422EF">
        <w:trPr>
          <w:trHeight w:val="315"/>
        </w:trPr>
        <w:tc>
          <w:tcPr>
            <w:tcW w:w="24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7AD8848" w14:textId="3155EDAF" w:rsidR="00050709" w:rsidRPr="009422EF" w:rsidRDefault="00050709" w:rsidP="009422EF">
            <w:pPr>
              <w:bidi w:val="0"/>
              <w:jc w:val="center"/>
              <w:rPr>
                <w:rFonts w:asciiTheme="majorBidi" w:hAnsiTheme="majorBidi" w:cstheme="majorBidi"/>
                <w:color w:val="000000"/>
                <w:sz w:val="22"/>
                <w:szCs w:val="22"/>
              </w:rPr>
            </w:pPr>
            <w:r w:rsidRPr="009422EF">
              <w:rPr>
                <w:rFonts w:asciiTheme="majorBidi" w:hAnsiTheme="majorBidi" w:cstheme="majorBidi"/>
                <w:color w:val="000000"/>
                <w:sz w:val="22"/>
                <w:szCs w:val="22"/>
              </w:rPr>
              <w:t>403</w:t>
            </w:r>
            <w:r w:rsidR="00EA4A04" w:rsidRPr="009422EF">
              <w:rPr>
                <w:rFonts w:asciiTheme="majorBidi" w:hAnsiTheme="majorBidi" w:cstheme="majorBidi"/>
                <w:color w:val="000000"/>
                <w:sz w:val="22"/>
                <w:szCs w:val="22"/>
              </w:rPr>
              <w:t>,</w:t>
            </w:r>
            <w:r w:rsidRPr="009422EF">
              <w:rPr>
                <w:rFonts w:asciiTheme="majorBidi" w:hAnsiTheme="majorBidi" w:cstheme="majorBidi"/>
                <w:color w:val="000000"/>
                <w:sz w:val="22"/>
                <w:szCs w:val="22"/>
              </w:rPr>
              <w:t>582</w:t>
            </w:r>
          </w:p>
        </w:tc>
        <w:tc>
          <w:tcPr>
            <w:tcW w:w="20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751EB2C" w14:textId="1ADC3856" w:rsidR="00050709" w:rsidRPr="009422EF" w:rsidRDefault="00050709" w:rsidP="009422EF">
            <w:pPr>
              <w:bidi w:val="0"/>
              <w:jc w:val="center"/>
              <w:rPr>
                <w:rFonts w:asciiTheme="majorBidi" w:hAnsiTheme="majorBidi" w:cstheme="majorBidi"/>
                <w:color w:val="000000"/>
                <w:sz w:val="22"/>
                <w:szCs w:val="22"/>
              </w:rPr>
            </w:pPr>
            <w:r w:rsidRPr="009422EF">
              <w:rPr>
                <w:rFonts w:asciiTheme="majorBidi" w:hAnsiTheme="majorBidi" w:cstheme="majorBidi"/>
                <w:color w:val="000000"/>
                <w:sz w:val="22"/>
                <w:szCs w:val="22"/>
              </w:rPr>
              <w:t>7</w:t>
            </w:r>
            <w:r w:rsidR="00D7056D" w:rsidRPr="009422EF">
              <w:rPr>
                <w:rFonts w:asciiTheme="majorBidi" w:hAnsiTheme="majorBidi" w:cstheme="majorBidi"/>
                <w:color w:val="000000"/>
                <w:sz w:val="22"/>
                <w:szCs w:val="22"/>
              </w:rPr>
              <w:t>,</w:t>
            </w:r>
            <w:r w:rsidRPr="009422EF">
              <w:rPr>
                <w:rFonts w:asciiTheme="majorBidi" w:hAnsiTheme="majorBidi" w:cstheme="majorBidi"/>
                <w:color w:val="000000"/>
                <w:sz w:val="22"/>
                <w:szCs w:val="22"/>
              </w:rPr>
              <w:t>554</w:t>
            </w:r>
          </w:p>
        </w:tc>
        <w:tc>
          <w:tcPr>
            <w:tcW w:w="192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CB7FFF5" w14:textId="0D6A0D5E" w:rsidR="00050709" w:rsidRPr="009422EF" w:rsidRDefault="00050709" w:rsidP="009422EF">
            <w:pPr>
              <w:bidi w:val="0"/>
              <w:jc w:val="center"/>
              <w:rPr>
                <w:rFonts w:asciiTheme="majorBidi" w:hAnsiTheme="majorBidi" w:cstheme="majorBidi"/>
                <w:color w:val="000000"/>
                <w:sz w:val="22"/>
                <w:szCs w:val="22"/>
              </w:rPr>
            </w:pPr>
            <w:r w:rsidRPr="009422EF">
              <w:rPr>
                <w:rFonts w:asciiTheme="majorBidi" w:hAnsiTheme="majorBidi" w:cstheme="majorBidi"/>
                <w:color w:val="000000"/>
                <w:sz w:val="22"/>
                <w:szCs w:val="22"/>
              </w:rPr>
              <w:t>77</w:t>
            </w:r>
            <w:r w:rsidR="00D7056D" w:rsidRPr="009422EF">
              <w:rPr>
                <w:rFonts w:asciiTheme="majorBidi" w:hAnsiTheme="majorBidi" w:cstheme="majorBidi"/>
                <w:color w:val="000000"/>
                <w:sz w:val="22"/>
                <w:szCs w:val="22"/>
              </w:rPr>
              <w:t>,</w:t>
            </w:r>
            <w:r w:rsidRPr="009422EF">
              <w:rPr>
                <w:rFonts w:asciiTheme="majorBidi" w:hAnsiTheme="majorBidi" w:cstheme="majorBidi"/>
                <w:color w:val="000000"/>
                <w:sz w:val="22"/>
                <w:szCs w:val="22"/>
              </w:rPr>
              <w:t>572</w:t>
            </w:r>
          </w:p>
        </w:tc>
      </w:tr>
      <w:tr w:rsidR="006A6854" w:rsidRPr="00DE68A1" w14:paraId="5692805E" w14:textId="77777777" w:rsidTr="00F83753">
        <w:trPr>
          <w:trHeight w:val="315"/>
        </w:trPr>
        <w:tc>
          <w:tcPr>
            <w:tcW w:w="2430" w:type="dxa"/>
            <w:tcBorders>
              <w:top w:val="single" w:sz="4" w:space="0" w:color="auto"/>
              <w:bottom w:val="single" w:sz="4" w:space="0" w:color="auto"/>
            </w:tcBorders>
            <w:noWrap/>
            <w:tcMar>
              <w:top w:w="0" w:type="dxa"/>
              <w:left w:w="108" w:type="dxa"/>
              <w:bottom w:w="0" w:type="dxa"/>
              <w:right w:w="108" w:type="dxa"/>
            </w:tcMar>
            <w:vAlign w:val="bottom"/>
            <w:hideMark/>
          </w:tcPr>
          <w:p w14:paraId="76C276C4" w14:textId="77777777" w:rsidR="006A6854" w:rsidRPr="00DE68A1" w:rsidRDefault="006A6854" w:rsidP="006A6854">
            <w:pPr>
              <w:jc w:val="right"/>
              <w:rPr>
                <w:color w:val="000000"/>
              </w:rPr>
            </w:pPr>
            <w:r w:rsidRPr="00DE68A1">
              <w:rPr>
                <w:color w:val="000000"/>
              </w:rPr>
              <w:t>Variable</w:t>
            </w:r>
          </w:p>
        </w:tc>
        <w:tc>
          <w:tcPr>
            <w:tcW w:w="2088" w:type="dxa"/>
            <w:tcBorders>
              <w:top w:val="single" w:sz="4" w:space="0" w:color="auto"/>
              <w:bottom w:val="single" w:sz="4" w:space="0" w:color="auto"/>
            </w:tcBorders>
            <w:noWrap/>
            <w:tcMar>
              <w:top w:w="0" w:type="dxa"/>
              <w:left w:w="108" w:type="dxa"/>
              <w:bottom w:w="0" w:type="dxa"/>
              <w:right w:w="108" w:type="dxa"/>
            </w:tcMar>
            <w:vAlign w:val="bottom"/>
            <w:hideMark/>
          </w:tcPr>
          <w:p w14:paraId="1D533744" w14:textId="77777777" w:rsidR="006A6854" w:rsidRPr="00DE68A1" w:rsidRDefault="006A6854" w:rsidP="006A6854">
            <w:pPr>
              <w:rPr>
                <w:color w:val="000000"/>
              </w:rPr>
            </w:pPr>
          </w:p>
        </w:tc>
        <w:tc>
          <w:tcPr>
            <w:tcW w:w="1927" w:type="dxa"/>
            <w:tcBorders>
              <w:top w:val="single" w:sz="4" w:space="0" w:color="auto"/>
              <w:bottom w:val="single" w:sz="4" w:space="0" w:color="auto"/>
            </w:tcBorders>
            <w:noWrap/>
            <w:tcMar>
              <w:top w:w="0" w:type="dxa"/>
              <w:left w:w="108" w:type="dxa"/>
              <w:bottom w:w="0" w:type="dxa"/>
              <w:right w:w="108" w:type="dxa"/>
            </w:tcMar>
            <w:vAlign w:val="bottom"/>
            <w:hideMark/>
          </w:tcPr>
          <w:p w14:paraId="1C7BDB23" w14:textId="77777777" w:rsidR="006A6854" w:rsidRPr="00DE68A1" w:rsidRDefault="006A6854" w:rsidP="006A6854">
            <w:pPr>
              <w:rPr>
                <w:sz w:val="20"/>
                <w:szCs w:val="20"/>
              </w:rPr>
            </w:pPr>
          </w:p>
        </w:tc>
      </w:tr>
      <w:tr w:rsidR="006A6854" w:rsidRPr="00DE68A1" w14:paraId="4DA13DA4" w14:textId="77777777" w:rsidTr="00F83753">
        <w:trPr>
          <w:trHeight w:val="315"/>
        </w:trPr>
        <w:tc>
          <w:tcPr>
            <w:tcW w:w="24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D5367E5" w14:textId="77777777" w:rsidR="006A6854" w:rsidRPr="00DE68A1" w:rsidRDefault="006A6854" w:rsidP="006A6854">
            <w:pPr>
              <w:bidi w:val="0"/>
              <w:jc w:val="center"/>
              <w:rPr>
                <w:rFonts w:eastAsia="Calibri"/>
                <w:color w:val="000000"/>
                <w:sz w:val="22"/>
                <w:szCs w:val="22"/>
              </w:rPr>
            </w:pPr>
            <w:r w:rsidRPr="00DE68A1">
              <w:rPr>
                <w:rFonts w:eastAsia="Calibri"/>
                <w:color w:val="000000"/>
                <w:sz w:val="22"/>
                <w:szCs w:val="22"/>
              </w:rPr>
              <w:t>Unrestricted Cash-based</w:t>
            </w:r>
          </w:p>
        </w:tc>
        <w:tc>
          <w:tcPr>
            <w:tcW w:w="20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3C59C8D" w14:textId="77777777" w:rsidR="006A6854" w:rsidRPr="00DE68A1" w:rsidRDefault="006A6854" w:rsidP="006A6854">
            <w:pPr>
              <w:bidi w:val="0"/>
              <w:jc w:val="center"/>
              <w:rPr>
                <w:rFonts w:eastAsia="Calibri"/>
                <w:color w:val="000000"/>
                <w:sz w:val="22"/>
                <w:szCs w:val="22"/>
              </w:rPr>
            </w:pPr>
            <w:r w:rsidRPr="00DE68A1">
              <w:rPr>
                <w:rFonts w:eastAsia="Calibri"/>
                <w:color w:val="000000"/>
                <w:sz w:val="22"/>
                <w:szCs w:val="22"/>
              </w:rPr>
              <w:t>Deferred Cash-based</w:t>
            </w:r>
          </w:p>
        </w:tc>
        <w:tc>
          <w:tcPr>
            <w:tcW w:w="192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F139754" w14:textId="77777777" w:rsidR="006A6854" w:rsidRPr="00DE68A1" w:rsidRDefault="006A6854" w:rsidP="006A6854">
            <w:pPr>
              <w:bidi w:val="0"/>
              <w:jc w:val="center"/>
              <w:rPr>
                <w:rFonts w:eastAsia="Calibri"/>
                <w:color w:val="000000"/>
                <w:sz w:val="22"/>
                <w:szCs w:val="22"/>
              </w:rPr>
            </w:pPr>
            <w:r w:rsidRPr="00DE68A1">
              <w:rPr>
                <w:rFonts w:eastAsia="Calibri"/>
                <w:color w:val="000000"/>
                <w:sz w:val="22"/>
                <w:szCs w:val="22"/>
              </w:rPr>
              <w:t xml:space="preserve">Unrestricted Other </w:t>
            </w:r>
          </w:p>
        </w:tc>
      </w:tr>
      <w:tr w:rsidR="006A6854" w:rsidRPr="00DE68A1" w14:paraId="4A3A7C77" w14:textId="77777777" w:rsidTr="00F83753">
        <w:trPr>
          <w:trHeight w:val="315"/>
        </w:trPr>
        <w:tc>
          <w:tcPr>
            <w:tcW w:w="24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DC6AB66" w14:textId="4CCDB4BA" w:rsidR="006A6854" w:rsidRPr="009422EF" w:rsidRDefault="006A6854" w:rsidP="009422EF">
            <w:pPr>
              <w:bidi w:val="0"/>
              <w:jc w:val="center"/>
              <w:rPr>
                <w:rFonts w:asciiTheme="majorBidi" w:hAnsiTheme="majorBidi" w:cstheme="majorBidi"/>
                <w:color w:val="000000"/>
                <w:sz w:val="22"/>
                <w:szCs w:val="22"/>
              </w:rPr>
            </w:pPr>
          </w:p>
        </w:tc>
        <w:tc>
          <w:tcPr>
            <w:tcW w:w="20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9AA3456" w14:textId="63A3B824" w:rsidR="006A6854" w:rsidRPr="009422EF" w:rsidRDefault="00050709" w:rsidP="009422EF">
            <w:pPr>
              <w:bidi w:val="0"/>
              <w:jc w:val="center"/>
              <w:rPr>
                <w:rFonts w:asciiTheme="majorBidi" w:hAnsiTheme="majorBidi" w:cstheme="majorBidi"/>
                <w:color w:val="000000"/>
                <w:sz w:val="22"/>
                <w:szCs w:val="22"/>
              </w:rPr>
            </w:pPr>
            <w:r w:rsidRPr="009422EF">
              <w:rPr>
                <w:rFonts w:asciiTheme="majorBidi" w:hAnsiTheme="majorBidi" w:cstheme="majorBidi"/>
                <w:color w:val="000000"/>
                <w:sz w:val="22"/>
                <w:szCs w:val="22"/>
              </w:rPr>
              <w:t>146</w:t>
            </w:r>
            <w:r w:rsidR="00D7056D" w:rsidRPr="009422EF">
              <w:rPr>
                <w:rFonts w:asciiTheme="majorBidi" w:hAnsiTheme="majorBidi" w:cstheme="majorBidi"/>
                <w:color w:val="000000"/>
                <w:sz w:val="22"/>
                <w:szCs w:val="22"/>
              </w:rPr>
              <w:t>,</w:t>
            </w:r>
            <w:r w:rsidRPr="009422EF">
              <w:rPr>
                <w:rFonts w:asciiTheme="majorBidi" w:hAnsiTheme="majorBidi" w:cstheme="majorBidi"/>
                <w:color w:val="000000"/>
                <w:sz w:val="22"/>
                <w:szCs w:val="22"/>
              </w:rPr>
              <w:t>774</w:t>
            </w:r>
          </w:p>
        </w:tc>
        <w:tc>
          <w:tcPr>
            <w:tcW w:w="192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1A67745" w14:textId="77777777" w:rsidR="006A6854" w:rsidRPr="009422EF" w:rsidRDefault="006A6854" w:rsidP="009422EF">
            <w:pPr>
              <w:bidi w:val="0"/>
              <w:jc w:val="center"/>
              <w:rPr>
                <w:rFonts w:asciiTheme="majorBidi" w:hAnsiTheme="majorBidi" w:cstheme="majorBidi"/>
                <w:color w:val="000000"/>
                <w:sz w:val="22"/>
                <w:szCs w:val="22"/>
              </w:rPr>
            </w:pPr>
            <w:r w:rsidRPr="009422EF">
              <w:rPr>
                <w:rFonts w:asciiTheme="majorBidi" w:hAnsiTheme="majorBidi" w:cstheme="majorBidi"/>
                <w:color w:val="000000"/>
                <w:sz w:val="22"/>
                <w:szCs w:val="22"/>
              </w:rPr>
              <w:t> </w:t>
            </w:r>
          </w:p>
        </w:tc>
      </w:tr>
    </w:tbl>
    <w:p w14:paraId="6B28B430" w14:textId="77777777" w:rsidR="008935E4" w:rsidRPr="00DE68A1" w:rsidRDefault="008935E4" w:rsidP="008935E4">
      <w:pPr>
        <w:bidi w:val="0"/>
        <w:rPr>
          <w:rFonts w:eastAsia="Calibri"/>
        </w:rPr>
      </w:pPr>
    </w:p>
    <w:p w14:paraId="23AB1555" w14:textId="77777777" w:rsidR="008935E4" w:rsidRPr="00DE68A1" w:rsidRDefault="008935E4" w:rsidP="008935E4">
      <w:pPr>
        <w:bidi w:val="0"/>
        <w:rPr>
          <w:rFonts w:eastAsia="Calibri"/>
        </w:rPr>
      </w:pPr>
    </w:p>
    <w:p w14:paraId="40C5B85F" w14:textId="77777777" w:rsidR="006A6854" w:rsidRPr="00DE68A1" w:rsidRDefault="006A6854" w:rsidP="00192961">
      <w:pPr>
        <w:bidi w:val="0"/>
        <w:rPr>
          <w:rFonts w:eastAsia="Calibri"/>
        </w:rPr>
      </w:pPr>
    </w:p>
    <w:p w14:paraId="7C3EF7DD" w14:textId="77777777" w:rsidR="006A6854" w:rsidRPr="00DE68A1" w:rsidRDefault="006A6854" w:rsidP="006A6854">
      <w:pPr>
        <w:bidi w:val="0"/>
        <w:rPr>
          <w:rFonts w:eastAsia="Calibri"/>
        </w:rPr>
      </w:pPr>
    </w:p>
    <w:p w14:paraId="16B7D3F2" w14:textId="77777777" w:rsidR="006A6854" w:rsidRPr="00DE68A1" w:rsidRDefault="006A6854" w:rsidP="006A6854">
      <w:pPr>
        <w:bidi w:val="0"/>
        <w:rPr>
          <w:rFonts w:eastAsia="Calibri"/>
        </w:rPr>
      </w:pPr>
    </w:p>
    <w:p w14:paraId="254AABBB" w14:textId="77777777" w:rsidR="006A6854" w:rsidRPr="00DE68A1" w:rsidRDefault="006A6854" w:rsidP="006A6854">
      <w:pPr>
        <w:bidi w:val="0"/>
        <w:rPr>
          <w:rFonts w:eastAsia="Calibri"/>
        </w:rPr>
      </w:pPr>
    </w:p>
    <w:p w14:paraId="3CAADCFB" w14:textId="77777777" w:rsidR="006A6854" w:rsidRPr="00DE68A1" w:rsidRDefault="006A6854" w:rsidP="006A6854">
      <w:pPr>
        <w:bidi w:val="0"/>
        <w:rPr>
          <w:rFonts w:eastAsia="Calibri"/>
        </w:rPr>
      </w:pPr>
    </w:p>
    <w:p w14:paraId="72449F6E" w14:textId="77777777" w:rsidR="00FD6D8C" w:rsidRPr="00DE68A1" w:rsidRDefault="00FD6D8C">
      <w:pPr>
        <w:bidi w:val="0"/>
        <w:rPr>
          <w:rFonts w:eastAsia="Calibri"/>
        </w:rPr>
      </w:pPr>
    </w:p>
    <w:p w14:paraId="61F73B83" w14:textId="77777777" w:rsidR="0072029B" w:rsidRDefault="0072029B" w:rsidP="00205FAB">
      <w:pPr>
        <w:bidi w:val="0"/>
        <w:jc w:val="both"/>
        <w:rPr>
          <w:rFonts w:eastAsia="Calibri"/>
        </w:rPr>
      </w:pPr>
    </w:p>
    <w:p w14:paraId="353F9C8F" w14:textId="012BE0B9" w:rsidR="008935E4" w:rsidRPr="00DE68A1" w:rsidRDefault="008935E4" w:rsidP="0072029B">
      <w:pPr>
        <w:bidi w:val="0"/>
        <w:jc w:val="both"/>
        <w:rPr>
          <w:rFonts w:eastAsia="Calibri"/>
        </w:rPr>
      </w:pPr>
      <w:r w:rsidRPr="00DE68A1">
        <w:rPr>
          <w:rFonts w:eastAsia="Calibri"/>
        </w:rPr>
        <w:t xml:space="preserve">Category 3: </w:t>
      </w:r>
      <w:r w:rsidR="00D0162F" w:rsidRPr="00DE68A1">
        <w:rPr>
          <w:rFonts w:eastAsia="Calibri"/>
        </w:rPr>
        <w:t xml:space="preserve">Financial &amp; Risk Control Staff - </w:t>
      </w:r>
      <w:r w:rsidR="0041623F" w:rsidRPr="00DE68A1">
        <w:rPr>
          <w:rFonts w:eastAsia="Calibri"/>
        </w:rPr>
        <w:t xml:space="preserve">5 </w:t>
      </w:r>
      <w:r w:rsidRPr="00DE68A1">
        <w:rPr>
          <w:rFonts w:eastAsia="Calibri"/>
        </w:rPr>
        <w:t>employees</w:t>
      </w:r>
    </w:p>
    <w:p w14:paraId="6465E819" w14:textId="77777777" w:rsidR="00AE4CB1" w:rsidRPr="00DE68A1" w:rsidRDefault="00AE4CB1" w:rsidP="00AE4CB1">
      <w:pPr>
        <w:bidi w:val="0"/>
        <w:rPr>
          <w:rFonts w:eastAsia="Calibri"/>
        </w:rPr>
      </w:pPr>
    </w:p>
    <w:tbl>
      <w:tblPr>
        <w:tblpPr w:leftFromText="180" w:rightFromText="180" w:vertAnchor="text" w:horzAnchor="margin" w:tblpY="-32"/>
        <w:tblW w:w="6420" w:type="dxa"/>
        <w:tblCellMar>
          <w:left w:w="0" w:type="dxa"/>
          <w:right w:w="0" w:type="dxa"/>
        </w:tblCellMar>
        <w:tblLook w:val="04A0" w:firstRow="1" w:lastRow="0" w:firstColumn="1" w:lastColumn="0" w:noHBand="0" w:noVBand="1"/>
      </w:tblPr>
      <w:tblGrid>
        <w:gridCol w:w="2420"/>
        <w:gridCol w:w="2080"/>
        <w:gridCol w:w="1920"/>
      </w:tblGrid>
      <w:tr w:rsidR="006A6854" w:rsidRPr="00DE68A1" w14:paraId="785DA5E5" w14:textId="77777777" w:rsidTr="00F83753">
        <w:trPr>
          <w:trHeight w:val="315"/>
        </w:trPr>
        <w:tc>
          <w:tcPr>
            <w:tcW w:w="2420" w:type="dxa"/>
            <w:tcBorders>
              <w:bottom w:val="single" w:sz="4" w:space="0" w:color="auto"/>
            </w:tcBorders>
            <w:noWrap/>
            <w:tcMar>
              <w:top w:w="0" w:type="dxa"/>
              <w:left w:w="108" w:type="dxa"/>
              <w:bottom w:w="0" w:type="dxa"/>
              <w:right w:w="108" w:type="dxa"/>
            </w:tcMar>
            <w:vAlign w:val="bottom"/>
            <w:hideMark/>
          </w:tcPr>
          <w:p w14:paraId="4458C788" w14:textId="77777777" w:rsidR="006A6854" w:rsidRPr="00DE68A1" w:rsidRDefault="006A6854" w:rsidP="006A6854">
            <w:pPr>
              <w:bidi w:val="0"/>
              <w:rPr>
                <w:rFonts w:eastAsia="Calibri"/>
                <w:color w:val="000000"/>
                <w:sz w:val="22"/>
                <w:szCs w:val="22"/>
              </w:rPr>
            </w:pPr>
            <w:r w:rsidRPr="00DE68A1">
              <w:rPr>
                <w:rFonts w:eastAsia="Calibri"/>
                <w:color w:val="000000"/>
                <w:sz w:val="22"/>
                <w:szCs w:val="22"/>
              </w:rPr>
              <w:t>Fixed</w:t>
            </w:r>
          </w:p>
        </w:tc>
        <w:tc>
          <w:tcPr>
            <w:tcW w:w="2080" w:type="dxa"/>
            <w:tcBorders>
              <w:bottom w:val="single" w:sz="4" w:space="0" w:color="auto"/>
            </w:tcBorders>
            <w:noWrap/>
            <w:tcMar>
              <w:top w:w="0" w:type="dxa"/>
              <w:left w:w="108" w:type="dxa"/>
              <w:bottom w:w="0" w:type="dxa"/>
              <w:right w:w="108" w:type="dxa"/>
            </w:tcMar>
            <w:vAlign w:val="bottom"/>
            <w:hideMark/>
          </w:tcPr>
          <w:p w14:paraId="1CEB81C1" w14:textId="77777777" w:rsidR="006A6854" w:rsidRPr="00DE68A1" w:rsidRDefault="006A6854" w:rsidP="006A6854">
            <w:pPr>
              <w:rPr>
                <w:rFonts w:eastAsia="Calibri"/>
                <w:color w:val="000000"/>
                <w:sz w:val="22"/>
                <w:szCs w:val="22"/>
              </w:rPr>
            </w:pPr>
          </w:p>
        </w:tc>
        <w:tc>
          <w:tcPr>
            <w:tcW w:w="1920" w:type="dxa"/>
            <w:tcBorders>
              <w:bottom w:val="single" w:sz="4" w:space="0" w:color="auto"/>
            </w:tcBorders>
            <w:noWrap/>
            <w:tcMar>
              <w:top w:w="0" w:type="dxa"/>
              <w:left w:w="108" w:type="dxa"/>
              <w:bottom w:w="0" w:type="dxa"/>
              <w:right w:w="108" w:type="dxa"/>
            </w:tcMar>
            <w:vAlign w:val="bottom"/>
            <w:hideMark/>
          </w:tcPr>
          <w:p w14:paraId="11DD7852" w14:textId="77777777" w:rsidR="006A6854" w:rsidRPr="00DE68A1" w:rsidRDefault="006A6854" w:rsidP="006A6854">
            <w:pPr>
              <w:bidi w:val="0"/>
              <w:rPr>
                <w:sz w:val="20"/>
                <w:szCs w:val="20"/>
              </w:rPr>
            </w:pPr>
          </w:p>
        </w:tc>
      </w:tr>
      <w:tr w:rsidR="006A6854" w:rsidRPr="00DE68A1" w14:paraId="75C44B21" w14:textId="77777777" w:rsidTr="00F83753">
        <w:trPr>
          <w:trHeight w:val="315"/>
        </w:trPr>
        <w:tc>
          <w:tcPr>
            <w:tcW w:w="24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BB246AA" w14:textId="77777777" w:rsidR="006A6854" w:rsidRPr="00DE68A1" w:rsidRDefault="006A6854" w:rsidP="006A6854">
            <w:pPr>
              <w:bidi w:val="0"/>
              <w:jc w:val="center"/>
              <w:rPr>
                <w:rFonts w:eastAsia="Calibri"/>
                <w:color w:val="000000"/>
                <w:sz w:val="22"/>
                <w:szCs w:val="22"/>
              </w:rPr>
            </w:pPr>
            <w:r w:rsidRPr="00DE68A1">
              <w:rPr>
                <w:rFonts w:eastAsia="Calibri"/>
                <w:color w:val="000000"/>
                <w:sz w:val="22"/>
                <w:szCs w:val="22"/>
              </w:rPr>
              <w:t>Unrestricted Cash-based</w:t>
            </w:r>
          </w:p>
        </w:tc>
        <w:tc>
          <w:tcPr>
            <w:tcW w:w="2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14DC6FE" w14:textId="77777777" w:rsidR="006A6854" w:rsidRPr="00DE68A1" w:rsidRDefault="006A6854" w:rsidP="006A6854">
            <w:pPr>
              <w:bidi w:val="0"/>
              <w:jc w:val="center"/>
              <w:rPr>
                <w:rFonts w:eastAsia="Calibri"/>
                <w:color w:val="000000"/>
                <w:sz w:val="22"/>
                <w:szCs w:val="22"/>
              </w:rPr>
            </w:pPr>
            <w:r w:rsidRPr="00DE68A1">
              <w:rPr>
                <w:rFonts w:eastAsia="Calibri"/>
                <w:color w:val="000000"/>
                <w:sz w:val="22"/>
                <w:szCs w:val="22"/>
              </w:rPr>
              <w:t>Deferred Cash-based</w:t>
            </w:r>
          </w:p>
        </w:tc>
        <w:tc>
          <w:tcPr>
            <w:tcW w:w="19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FD7D2F1" w14:textId="77777777" w:rsidR="006A6854" w:rsidRPr="00DE68A1" w:rsidRDefault="006A6854" w:rsidP="006A6854">
            <w:pPr>
              <w:bidi w:val="0"/>
              <w:jc w:val="center"/>
              <w:rPr>
                <w:rFonts w:eastAsia="Calibri"/>
                <w:color w:val="000000"/>
                <w:sz w:val="22"/>
                <w:szCs w:val="22"/>
              </w:rPr>
            </w:pPr>
            <w:r w:rsidRPr="00DE68A1">
              <w:rPr>
                <w:rFonts w:eastAsia="Calibri"/>
                <w:color w:val="000000"/>
                <w:sz w:val="22"/>
                <w:szCs w:val="22"/>
              </w:rPr>
              <w:t xml:space="preserve">Unrestricted Other </w:t>
            </w:r>
          </w:p>
        </w:tc>
      </w:tr>
      <w:tr w:rsidR="00050709" w:rsidRPr="00DE68A1" w14:paraId="580A4B75" w14:textId="77777777" w:rsidTr="00205FAB">
        <w:trPr>
          <w:trHeight w:val="315"/>
        </w:trPr>
        <w:tc>
          <w:tcPr>
            <w:tcW w:w="24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6831A31" w14:textId="3CD450E9" w:rsidR="00050709" w:rsidRPr="009422EF" w:rsidRDefault="00050709" w:rsidP="00050709">
            <w:pPr>
              <w:bidi w:val="0"/>
              <w:jc w:val="center"/>
              <w:rPr>
                <w:rFonts w:asciiTheme="majorBidi" w:hAnsiTheme="majorBidi" w:cstheme="majorBidi"/>
                <w:color w:val="000000"/>
                <w:sz w:val="22"/>
                <w:szCs w:val="22"/>
              </w:rPr>
            </w:pPr>
            <w:r w:rsidRPr="009422EF">
              <w:rPr>
                <w:rFonts w:asciiTheme="majorBidi" w:hAnsiTheme="majorBidi" w:cstheme="majorBidi"/>
                <w:color w:val="000000"/>
                <w:sz w:val="22"/>
                <w:szCs w:val="22"/>
              </w:rPr>
              <w:t>280</w:t>
            </w:r>
            <w:r w:rsidR="00D7056D" w:rsidRPr="009422EF">
              <w:rPr>
                <w:rFonts w:asciiTheme="majorBidi" w:hAnsiTheme="majorBidi" w:cstheme="majorBidi"/>
                <w:color w:val="000000"/>
                <w:sz w:val="22"/>
                <w:szCs w:val="22"/>
              </w:rPr>
              <w:t>,</w:t>
            </w:r>
            <w:r w:rsidRPr="009422EF">
              <w:rPr>
                <w:rFonts w:asciiTheme="majorBidi" w:hAnsiTheme="majorBidi" w:cstheme="majorBidi"/>
                <w:color w:val="000000"/>
                <w:sz w:val="22"/>
                <w:szCs w:val="22"/>
              </w:rPr>
              <w:t>351</w:t>
            </w:r>
          </w:p>
        </w:tc>
        <w:tc>
          <w:tcPr>
            <w:tcW w:w="2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6E907E2C" w14:textId="7506009F" w:rsidR="00050709" w:rsidRPr="009422EF" w:rsidRDefault="00050709" w:rsidP="00050709">
            <w:pPr>
              <w:bidi w:val="0"/>
              <w:jc w:val="center"/>
              <w:rPr>
                <w:rFonts w:asciiTheme="majorBidi" w:hAnsiTheme="majorBidi" w:cstheme="majorBidi"/>
                <w:color w:val="000000"/>
                <w:sz w:val="22"/>
                <w:szCs w:val="22"/>
              </w:rPr>
            </w:pPr>
            <w:r w:rsidRPr="009422EF">
              <w:rPr>
                <w:rFonts w:asciiTheme="majorBidi" w:hAnsiTheme="majorBidi" w:cstheme="majorBidi"/>
                <w:color w:val="000000"/>
                <w:sz w:val="22"/>
                <w:szCs w:val="22"/>
              </w:rPr>
              <w:t>9</w:t>
            </w:r>
            <w:r w:rsidR="00D7056D" w:rsidRPr="009422EF">
              <w:rPr>
                <w:rFonts w:asciiTheme="majorBidi" w:hAnsiTheme="majorBidi" w:cstheme="majorBidi"/>
                <w:color w:val="000000"/>
                <w:sz w:val="22"/>
                <w:szCs w:val="22"/>
              </w:rPr>
              <w:t>,</w:t>
            </w:r>
            <w:r w:rsidRPr="009422EF">
              <w:rPr>
                <w:rFonts w:asciiTheme="majorBidi" w:hAnsiTheme="majorBidi" w:cstheme="majorBidi"/>
                <w:color w:val="000000"/>
                <w:sz w:val="22"/>
                <w:szCs w:val="22"/>
              </w:rPr>
              <w:t>572</w:t>
            </w:r>
          </w:p>
        </w:tc>
        <w:tc>
          <w:tcPr>
            <w:tcW w:w="19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8455CEA" w14:textId="0252C821" w:rsidR="00050709" w:rsidRPr="009422EF" w:rsidRDefault="00050709" w:rsidP="00050709">
            <w:pPr>
              <w:bidi w:val="0"/>
              <w:jc w:val="center"/>
              <w:rPr>
                <w:rFonts w:asciiTheme="majorBidi" w:hAnsiTheme="majorBidi" w:cstheme="majorBidi"/>
                <w:color w:val="000000"/>
                <w:sz w:val="22"/>
                <w:szCs w:val="22"/>
              </w:rPr>
            </w:pPr>
            <w:r w:rsidRPr="009422EF">
              <w:rPr>
                <w:rFonts w:asciiTheme="majorBidi" w:hAnsiTheme="majorBidi" w:cstheme="majorBidi"/>
                <w:color w:val="000000"/>
                <w:sz w:val="22"/>
                <w:szCs w:val="22"/>
              </w:rPr>
              <w:t>39</w:t>
            </w:r>
            <w:r w:rsidR="00D7056D" w:rsidRPr="009422EF">
              <w:rPr>
                <w:rFonts w:asciiTheme="majorBidi" w:hAnsiTheme="majorBidi" w:cstheme="majorBidi"/>
                <w:color w:val="000000"/>
                <w:sz w:val="22"/>
                <w:szCs w:val="22"/>
              </w:rPr>
              <w:t>,</w:t>
            </w:r>
            <w:r w:rsidRPr="009422EF">
              <w:rPr>
                <w:rFonts w:asciiTheme="majorBidi" w:hAnsiTheme="majorBidi" w:cstheme="majorBidi"/>
                <w:color w:val="000000"/>
                <w:sz w:val="22"/>
                <w:szCs w:val="22"/>
              </w:rPr>
              <w:t>292</w:t>
            </w:r>
          </w:p>
        </w:tc>
      </w:tr>
      <w:tr w:rsidR="006A6854" w:rsidRPr="00DE68A1" w14:paraId="59D6A4C5" w14:textId="77777777" w:rsidTr="00F83753">
        <w:trPr>
          <w:trHeight w:val="315"/>
        </w:trPr>
        <w:tc>
          <w:tcPr>
            <w:tcW w:w="2420" w:type="dxa"/>
            <w:tcBorders>
              <w:top w:val="single" w:sz="4" w:space="0" w:color="auto"/>
              <w:bottom w:val="single" w:sz="4" w:space="0" w:color="auto"/>
            </w:tcBorders>
            <w:noWrap/>
            <w:tcMar>
              <w:top w:w="0" w:type="dxa"/>
              <w:left w:w="108" w:type="dxa"/>
              <w:bottom w:w="0" w:type="dxa"/>
              <w:right w:w="108" w:type="dxa"/>
            </w:tcMar>
            <w:vAlign w:val="bottom"/>
            <w:hideMark/>
          </w:tcPr>
          <w:p w14:paraId="1DFDA82A" w14:textId="77777777" w:rsidR="006A6854" w:rsidRPr="00DE68A1" w:rsidRDefault="006A6854" w:rsidP="006A6854">
            <w:pPr>
              <w:bidi w:val="0"/>
              <w:rPr>
                <w:rFonts w:eastAsia="Calibri"/>
                <w:color w:val="000000"/>
                <w:sz w:val="22"/>
                <w:szCs w:val="22"/>
              </w:rPr>
            </w:pPr>
            <w:r w:rsidRPr="00DE68A1">
              <w:rPr>
                <w:rFonts w:eastAsia="Calibri"/>
                <w:color w:val="000000"/>
                <w:sz w:val="22"/>
                <w:szCs w:val="22"/>
              </w:rPr>
              <w:t>Variable</w:t>
            </w:r>
          </w:p>
        </w:tc>
        <w:tc>
          <w:tcPr>
            <w:tcW w:w="2080" w:type="dxa"/>
            <w:tcBorders>
              <w:top w:val="single" w:sz="4" w:space="0" w:color="auto"/>
              <w:bottom w:val="single" w:sz="4" w:space="0" w:color="auto"/>
            </w:tcBorders>
            <w:noWrap/>
            <w:tcMar>
              <w:top w:w="0" w:type="dxa"/>
              <w:left w:w="108" w:type="dxa"/>
              <w:bottom w:w="0" w:type="dxa"/>
              <w:right w:w="108" w:type="dxa"/>
            </w:tcMar>
            <w:vAlign w:val="bottom"/>
            <w:hideMark/>
          </w:tcPr>
          <w:p w14:paraId="272912E0" w14:textId="77777777" w:rsidR="006A6854" w:rsidRPr="00DE68A1" w:rsidRDefault="006A6854" w:rsidP="006A6854">
            <w:pPr>
              <w:rPr>
                <w:rFonts w:eastAsia="Calibri"/>
                <w:color w:val="000000"/>
                <w:sz w:val="22"/>
                <w:szCs w:val="22"/>
              </w:rPr>
            </w:pPr>
          </w:p>
        </w:tc>
        <w:tc>
          <w:tcPr>
            <w:tcW w:w="1920" w:type="dxa"/>
            <w:tcBorders>
              <w:top w:val="single" w:sz="4" w:space="0" w:color="auto"/>
              <w:bottom w:val="single" w:sz="4" w:space="0" w:color="auto"/>
            </w:tcBorders>
            <w:noWrap/>
            <w:tcMar>
              <w:top w:w="0" w:type="dxa"/>
              <w:left w:w="108" w:type="dxa"/>
              <w:bottom w:w="0" w:type="dxa"/>
              <w:right w:w="108" w:type="dxa"/>
            </w:tcMar>
            <w:vAlign w:val="bottom"/>
            <w:hideMark/>
          </w:tcPr>
          <w:p w14:paraId="6DC5D704" w14:textId="77777777" w:rsidR="006A6854" w:rsidRPr="00DE68A1" w:rsidRDefault="006A6854" w:rsidP="006A6854">
            <w:pPr>
              <w:bidi w:val="0"/>
              <w:rPr>
                <w:sz w:val="20"/>
                <w:szCs w:val="20"/>
              </w:rPr>
            </w:pPr>
          </w:p>
        </w:tc>
      </w:tr>
      <w:tr w:rsidR="006A6854" w:rsidRPr="00DE68A1" w14:paraId="0A6759D5" w14:textId="77777777" w:rsidTr="00F83753">
        <w:trPr>
          <w:trHeight w:val="315"/>
        </w:trPr>
        <w:tc>
          <w:tcPr>
            <w:tcW w:w="24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A7BFE33" w14:textId="77777777" w:rsidR="006A6854" w:rsidRPr="00DE68A1" w:rsidRDefault="006A6854" w:rsidP="006A6854">
            <w:pPr>
              <w:bidi w:val="0"/>
              <w:jc w:val="center"/>
              <w:rPr>
                <w:rFonts w:eastAsia="Calibri"/>
                <w:color w:val="000000"/>
                <w:sz w:val="22"/>
                <w:szCs w:val="22"/>
              </w:rPr>
            </w:pPr>
            <w:r w:rsidRPr="00DE68A1">
              <w:rPr>
                <w:rFonts w:eastAsia="Calibri"/>
                <w:color w:val="000000"/>
                <w:sz w:val="22"/>
                <w:szCs w:val="22"/>
              </w:rPr>
              <w:t>Unrestricted Cash-based</w:t>
            </w:r>
          </w:p>
        </w:tc>
        <w:tc>
          <w:tcPr>
            <w:tcW w:w="2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1D39BD5" w14:textId="77777777" w:rsidR="006A6854" w:rsidRPr="00DE68A1" w:rsidRDefault="006A6854" w:rsidP="006A6854">
            <w:pPr>
              <w:bidi w:val="0"/>
              <w:jc w:val="center"/>
              <w:rPr>
                <w:rFonts w:eastAsia="Calibri"/>
                <w:color w:val="000000"/>
                <w:sz w:val="22"/>
                <w:szCs w:val="22"/>
              </w:rPr>
            </w:pPr>
            <w:r w:rsidRPr="00DE68A1">
              <w:rPr>
                <w:rFonts w:eastAsia="Calibri"/>
                <w:color w:val="000000"/>
                <w:sz w:val="22"/>
                <w:szCs w:val="22"/>
              </w:rPr>
              <w:t>Deferred Cash-based</w:t>
            </w:r>
          </w:p>
        </w:tc>
        <w:tc>
          <w:tcPr>
            <w:tcW w:w="19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E0E01C9" w14:textId="77777777" w:rsidR="006A6854" w:rsidRPr="00DE68A1" w:rsidRDefault="006A6854" w:rsidP="006A6854">
            <w:pPr>
              <w:bidi w:val="0"/>
              <w:jc w:val="center"/>
              <w:rPr>
                <w:rFonts w:eastAsia="Calibri"/>
                <w:color w:val="000000"/>
                <w:sz w:val="22"/>
                <w:szCs w:val="22"/>
              </w:rPr>
            </w:pPr>
            <w:r w:rsidRPr="00DE68A1">
              <w:rPr>
                <w:rFonts w:eastAsia="Calibri"/>
                <w:color w:val="000000"/>
                <w:sz w:val="22"/>
                <w:szCs w:val="22"/>
              </w:rPr>
              <w:t xml:space="preserve">Unrestricted Other </w:t>
            </w:r>
          </w:p>
        </w:tc>
      </w:tr>
      <w:tr w:rsidR="006A6854" w:rsidRPr="00D36CD1" w14:paraId="5B0981F0" w14:textId="77777777" w:rsidTr="00F83753">
        <w:trPr>
          <w:trHeight w:val="315"/>
        </w:trPr>
        <w:tc>
          <w:tcPr>
            <w:tcW w:w="24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9EE03BD" w14:textId="77777777" w:rsidR="006A6854" w:rsidRPr="009422EF" w:rsidRDefault="006A6854" w:rsidP="006A6854">
            <w:pPr>
              <w:bidi w:val="0"/>
              <w:jc w:val="center"/>
              <w:rPr>
                <w:rFonts w:asciiTheme="majorBidi" w:hAnsiTheme="majorBidi" w:cstheme="majorBidi"/>
                <w:color w:val="000000"/>
                <w:sz w:val="22"/>
                <w:szCs w:val="22"/>
              </w:rPr>
            </w:pPr>
            <w:r w:rsidRPr="009422EF">
              <w:rPr>
                <w:rFonts w:asciiTheme="majorBidi" w:hAnsiTheme="majorBidi" w:cstheme="majorBidi"/>
                <w:color w:val="000000"/>
                <w:sz w:val="22"/>
                <w:szCs w:val="22"/>
              </w:rPr>
              <w:t> </w:t>
            </w:r>
          </w:p>
        </w:tc>
        <w:tc>
          <w:tcPr>
            <w:tcW w:w="2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B124ECF" w14:textId="5083FACD" w:rsidR="006A6854" w:rsidRPr="009422EF" w:rsidRDefault="00050709" w:rsidP="009422EF">
            <w:pPr>
              <w:bidi w:val="0"/>
              <w:jc w:val="center"/>
              <w:rPr>
                <w:rFonts w:asciiTheme="majorBidi" w:hAnsiTheme="majorBidi" w:cstheme="majorBidi"/>
                <w:color w:val="000000"/>
                <w:sz w:val="22"/>
                <w:szCs w:val="22"/>
              </w:rPr>
            </w:pPr>
            <w:r w:rsidRPr="009422EF">
              <w:rPr>
                <w:rFonts w:asciiTheme="majorBidi" w:hAnsiTheme="majorBidi" w:cstheme="majorBidi"/>
                <w:color w:val="000000"/>
                <w:sz w:val="22"/>
                <w:szCs w:val="22"/>
              </w:rPr>
              <w:t>84</w:t>
            </w:r>
            <w:r w:rsidR="00D7056D" w:rsidRPr="009422EF">
              <w:rPr>
                <w:rFonts w:asciiTheme="majorBidi" w:hAnsiTheme="majorBidi" w:cstheme="majorBidi"/>
                <w:color w:val="000000"/>
                <w:sz w:val="22"/>
                <w:szCs w:val="22"/>
              </w:rPr>
              <w:t>,</w:t>
            </w:r>
            <w:r w:rsidRPr="009422EF">
              <w:rPr>
                <w:rFonts w:asciiTheme="majorBidi" w:hAnsiTheme="majorBidi" w:cstheme="majorBidi"/>
                <w:color w:val="000000"/>
                <w:sz w:val="22"/>
                <w:szCs w:val="22"/>
              </w:rPr>
              <w:t>045</w:t>
            </w:r>
          </w:p>
        </w:tc>
        <w:tc>
          <w:tcPr>
            <w:tcW w:w="19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86663A6" w14:textId="77777777" w:rsidR="006A6854" w:rsidRPr="009422EF" w:rsidRDefault="006A6854" w:rsidP="006A6854">
            <w:pPr>
              <w:bidi w:val="0"/>
              <w:jc w:val="center"/>
              <w:rPr>
                <w:rFonts w:asciiTheme="majorBidi" w:hAnsiTheme="majorBidi" w:cstheme="majorBidi"/>
                <w:color w:val="000000"/>
                <w:sz w:val="22"/>
                <w:szCs w:val="22"/>
              </w:rPr>
            </w:pPr>
          </w:p>
        </w:tc>
      </w:tr>
    </w:tbl>
    <w:p w14:paraId="542936D5" w14:textId="77777777" w:rsidR="00AE4CB1" w:rsidRDefault="00AE4CB1" w:rsidP="00AE4CB1">
      <w:pPr>
        <w:bidi w:val="0"/>
        <w:rPr>
          <w:rFonts w:eastAsia="Calibri"/>
        </w:rPr>
      </w:pPr>
    </w:p>
    <w:sectPr w:rsidR="00AE4CB1" w:rsidSect="00034729">
      <w:headerReference w:type="even" r:id="rId13"/>
      <w:headerReference w:type="default" r:id="rId14"/>
      <w:footerReference w:type="even" r:id="rId15"/>
      <w:footerReference w:type="default" r:id="rId16"/>
      <w:headerReference w:type="first" r:id="rId17"/>
      <w:footerReference w:type="first" r:id="rId18"/>
      <w:pgSz w:w="11906" w:h="16838" w:code="9"/>
      <w:pgMar w:top="1296" w:right="1382" w:bottom="1296" w:left="1354" w:header="720" w:footer="720" w:gutter="0"/>
      <w:cols w:space="720"/>
      <w:titlePg/>
      <w:bidi/>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Surya Subrahmanyam" w:date="2026-02-10T14:13:00Z" w:initials="SS">
    <w:p w14:paraId="50AC8DF4" w14:textId="77777777" w:rsidR="003E6E7C" w:rsidRDefault="003E6E7C" w:rsidP="003E6E7C">
      <w:pPr>
        <w:pStyle w:val="CommentText"/>
        <w:bidi w:val="0"/>
      </w:pPr>
      <w:r>
        <w:rPr>
          <w:rStyle w:val="CommentReference"/>
        </w:rPr>
        <w:annotationRef/>
      </w:r>
      <w:r>
        <w:t>Earlier it was typed as 65. Now modified as 965.</w:t>
      </w:r>
    </w:p>
  </w:comment>
  <w:comment w:id="4" w:author="Yasmeen ElShazly" w:date="2026-02-11T13:25:00Z" w:initials="YE">
    <w:p w14:paraId="545427BD" w14:textId="77777777" w:rsidR="00106DC8" w:rsidRDefault="00106DC8" w:rsidP="00106DC8">
      <w:pPr>
        <w:pStyle w:val="CommentText"/>
        <w:bidi w:val="0"/>
      </w:pPr>
      <w:r>
        <w:rPr>
          <w:rStyle w:val="CommentReference"/>
        </w:rPr>
        <w:annotationRef/>
      </w:r>
      <w:r>
        <w:t>Done</w:t>
      </w:r>
    </w:p>
  </w:comment>
  <w:comment w:id="5" w:author="Surya Subrahmanyam" w:date="2026-02-10T14:17:00Z" w:initials="SS">
    <w:p w14:paraId="73779B52" w14:textId="737AB1A1" w:rsidR="003E6E7C" w:rsidRDefault="003E6E7C" w:rsidP="003E6E7C">
      <w:pPr>
        <w:pStyle w:val="CommentText"/>
        <w:bidi w:val="0"/>
      </w:pPr>
      <w:r>
        <w:rPr>
          <w:rStyle w:val="CommentReference"/>
        </w:rPr>
        <w:annotationRef/>
      </w:r>
      <w:r>
        <w:t>Instead of 7374, it should be 7375.</w:t>
      </w:r>
    </w:p>
  </w:comment>
  <w:comment w:id="6" w:author="Yasmeen ElShazly" w:date="2026-02-11T13:25:00Z" w:initials="YE">
    <w:p w14:paraId="07CC9A90" w14:textId="77777777" w:rsidR="00106DC8" w:rsidRDefault="00106DC8" w:rsidP="00106DC8">
      <w:pPr>
        <w:pStyle w:val="CommentText"/>
        <w:bidi w:val="0"/>
      </w:pPr>
      <w:r>
        <w:rPr>
          <w:rStyle w:val="CommentReference"/>
        </w:rPr>
        <w:annotationRef/>
      </w:r>
      <w:r>
        <w:t>Done</w:t>
      </w:r>
    </w:p>
  </w:comment>
  <w:comment w:id="7" w:author="Surya Subrahmanyam" w:date="2026-02-10T14:18:00Z" w:initials="SS">
    <w:p w14:paraId="0E67B29C" w14:textId="2F29E286" w:rsidR="003E6E7C" w:rsidRDefault="003E6E7C" w:rsidP="003E6E7C">
      <w:pPr>
        <w:pStyle w:val="CommentText"/>
        <w:bidi w:val="0"/>
      </w:pPr>
      <w:r>
        <w:rPr>
          <w:rStyle w:val="CommentReference"/>
        </w:rPr>
        <w:annotationRef/>
      </w:r>
      <w:r>
        <w:t>Instead of 978, Please make it 979</w:t>
      </w:r>
    </w:p>
  </w:comment>
  <w:comment w:id="8" w:author="Yasmeen ElShazly" w:date="2026-02-11T13:25:00Z" w:initials="YE">
    <w:p w14:paraId="1D88E544" w14:textId="77777777" w:rsidR="00106DC8" w:rsidRDefault="00106DC8" w:rsidP="00106DC8">
      <w:pPr>
        <w:pStyle w:val="CommentText"/>
        <w:bidi w:val="0"/>
      </w:pPr>
      <w:r>
        <w:rPr>
          <w:rStyle w:val="CommentReference"/>
        </w:rPr>
        <w:annotationRef/>
      </w:r>
      <w:r>
        <w:t>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AC8DF4" w15:done="0"/>
  <w15:commentEx w15:paraId="545427BD" w15:paraIdParent="50AC8DF4" w15:done="0"/>
  <w15:commentEx w15:paraId="73779B52" w15:done="0"/>
  <w15:commentEx w15:paraId="07CC9A90" w15:paraIdParent="73779B52" w15:done="0"/>
  <w15:commentEx w15:paraId="0E67B29C" w15:done="0"/>
  <w15:commentEx w15:paraId="1D88E544" w15:paraIdParent="0E67B29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3053AF5" w16cex:dateUtc="2026-02-10T11:13:00Z"/>
  <w16cex:commentExtensible w16cex:durableId="6D9AC47D" w16cex:dateUtc="2026-02-11T10:25:00Z"/>
  <w16cex:commentExtensible w16cex:durableId="40B2A4D2" w16cex:dateUtc="2026-02-10T11:17:00Z"/>
  <w16cex:commentExtensible w16cex:durableId="0B347908" w16cex:dateUtc="2026-02-11T10:25:00Z"/>
  <w16cex:commentExtensible w16cex:durableId="300679DE" w16cex:dateUtc="2026-02-10T11:18:00Z"/>
  <w16cex:commentExtensible w16cex:durableId="170B47B8" w16cex:dateUtc="2026-02-11T10: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AC8DF4" w16cid:durableId="73053AF5"/>
  <w16cid:commentId w16cid:paraId="545427BD" w16cid:durableId="6D9AC47D"/>
  <w16cid:commentId w16cid:paraId="73779B52" w16cid:durableId="40B2A4D2"/>
  <w16cid:commentId w16cid:paraId="07CC9A90" w16cid:durableId="0B347908"/>
  <w16cid:commentId w16cid:paraId="0E67B29C" w16cid:durableId="300679DE"/>
  <w16cid:commentId w16cid:paraId="1D88E544" w16cid:durableId="170B47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BAFBC" w14:textId="77777777" w:rsidR="000000C2" w:rsidRDefault="000000C2">
      <w:r>
        <w:separator/>
      </w:r>
    </w:p>
  </w:endnote>
  <w:endnote w:type="continuationSeparator" w:id="0">
    <w:p w14:paraId="7F5A94F5" w14:textId="77777777" w:rsidR="000000C2" w:rsidRDefault="00000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etter Gothic">
    <w:altName w:val="Courier New"/>
    <w:panose1 w:val="00000000000000000000"/>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F8989" w14:textId="42AD4C7C" w:rsidR="000E4870" w:rsidRDefault="00053553" w:rsidP="00C82830">
    <w:pPr>
      <w:pStyle w:val="Footer"/>
      <w:framePr w:wrap="around" w:vAnchor="text" w:hAnchor="text" w:y="1"/>
      <w:rPr>
        <w:rStyle w:val="PageNumber"/>
      </w:rPr>
    </w:pPr>
    <w:r>
      <w:rPr>
        <w:noProof/>
        <w:rtl/>
        <w:lang w:val="ar-SA"/>
      </w:rPr>
      <mc:AlternateContent>
        <mc:Choice Requires="wps">
          <w:drawing>
            <wp:anchor distT="0" distB="0" distL="0" distR="0" simplePos="0" relativeHeight="251659264" behindDoc="0" locked="0" layoutInCell="1" allowOverlap="1" wp14:anchorId="0D5BFA55" wp14:editId="20CE3BF5">
              <wp:simplePos x="635" y="635"/>
              <wp:positionH relativeFrom="page">
                <wp:align>left</wp:align>
              </wp:positionH>
              <wp:positionV relativeFrom="page">
                <wp:align>bottom</wp:align>
              </wp:positionV>
              <wp:extent cx="1631950" cy="345440"/>
              <wp:effectExtent l="0" t="0" r="6350" b="0"/>
              <wp:wrapNone/>
              <wp:docPr id="486307241" name="Text Box 2"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1950" cy="345440"/>
                      </a:xfrm>
                      <a:prstGeom prst="rect">
                        <a:avLst/>
                      </a:prstGeom>
                      <a:noFill/>
                      <a:ln>
                        <a:noFill/>
                      </a:ln>
                    </wps:spPr>
                    <wps:txbx>
                      <w:txbxContent>
                        <w:p w14:paraId="45B28D39" w14:textId="6DE09A79" w:rsidR="00053553" w:rsidRPr="00053553" w:rsidRDefault="00053553" w:rsidP="00053553">
                          <w:pPr>
                            <w:rPr>
                              <w:rFonts w:ascii="Aptos" w:eastAsia="Aptos" w:hAnsi="Aptos" w:cs="Aptos"/>
                              <w:noProof/>
                              <w:color w:val="0000FF"/>
                              <w:sz w:val="20"/>
                              <w:szCs w:val="20"/>
                            </w:rPr>
                          </w:pPr>
                          <w:r w:rsidRPr="00053553">
                            <w:rPr>
                              <w:rFonts w:ascii="Aptos" w:eastAsia="Aptos" w:hAnsi="Aptos" w:cs="Aptos"/>
                              <w:noProof/>
                              <w:color w:val="0000FF"/>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5BFA55" id="_x0000_t202" coordsize="21600,21600" o:spt="202" path="m,l,21600r21600,l21600,xe">
              <v:stroke joinstyle="miter"/>
              <v:path gradientshapeok="t" o:connecttype="rect"/>
            </v:shapetype>
            <v:shape id="Text Box 2" o:spid="_x0000_s1026" type="#_x0000_t202" alt="Classification: INTERNAL" style="position:absolute;left:0;text-align:left;margin-left:0;margin-top:0;width:128.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" filled="f" stroked="f">
              <v:textbox style="mso-fit-shape-to-text:t" inset="20pt,0,0,15pt">
                <w:txbxContent>
                  <w:p w14:paraId="45B28D39" w14:textId="6DE09A79" w:rsidR="00053553" w:rsidRPr="00053553" w:rsidRDefault="00053553" w:rsidP="00053553">
                    <w:pPr>
                      <w:rPr>
                        <w:rFonts w:ascii="Aptos" w:eastAsia="Aptos" w:hAnsi="Aptos" w:cs="Aptos"/>
                        <w:noProof/>
                        <w:color w:val="0000FF"/>
                        <w:sz w:val="20"/>
                        <w:szCs w:val="20"/>
                      </w:rPr>
                    </w:pPr>
                    <w:r w:rsidRPr="00053553">
                      <w:rPr>
                        <w:rFonts w:ascii="Aptos" w:eastAsia="Aptos" w:hAnsi="Aptos" w:cs="Aptos"/>
                        <w:noProof/>
                        <w:color w:val="0000FF"/>
                        <w:sz w:val="20"/>
                        <w:szCs w:val="20"/>
                      </w:rPr>
                      <w:t>Classification: INTERNAL</w:t>
                    </w:r>
                  </w:p>
                </w:txbxContent>
              </v:textbox>
              <w10:wrap anchorx="page" anchory="page"/>
            </v:shape>
          </w:pict>
        </mc:Fallback>
      </mc:AlternateContent>
    </w:r>
    <w:r w:rsidR="00C82830">
      <w:rPr>
        <w:rStyle w:val="PageNumber"/>
        <w:rtl/>
      </w:rPr>
      <w:fldChar w:fldCharType="begin" w:fldLock="1"/>
    </w:r>
    <w:r w:rsidR="00C82830">
      <w:rPr>
        <w:rStyle w:val="PageNumber"/>
        <w:rtl/>
      </w:rPr>
      <w:instrText xml:space="preserve"> </w:instrText>
    </w:r>
    <w:r w:rsidR="00C82830">
      <w:rPr>
        <w:rStyle w:val="PageNumber"/>
      </w:rPr>
      <w:instrText>DOCPROPERTY bjFooterEvenPageDocProperty \* MERGEFORMAT</w:instrText>
    </w:r>
    <w:r w:rsidR="00C82830">
      <w:rPr>
        <w:rStyle w:val="PageNumber"/>
        <w:rtl/>
      </w:rPr>
      <w:instrText xml:space="preserve"> </w:instrText>
    </w:r>
    <w:r w:rsidR="00C82830">
      <w:rPr>
        <w:rStyle w:val="PageNumber"/>
        <w:rtl/>
      </w:rPr>
      <w:fldChar w:fldCharType="separate"/>
    </w:r>
    <w:r w:rsidR="00C82830" w:rsidRPr="00C82830">
      <w:rPr>
        <w:rStyle w:val="PageNumber"/>
        <w:rFonts w:ascii="Cambria" w:hAnsi="Cambria"/>
        <w:color w:val="000000"/>
        <w:sz w:val="18"/>
      </w:rPr>
      <w:t xml:space="preserve">Classification: </w:t>
    </w:r>
    <w:r w:rsidR="00C82830" w:rsidRPr="00C82830">
      <w:rPr>
        <w:rStyle w:val="PageNumber"/>
        <w:rFonts w:ascii="Cambria" w:hAnsi="Cambria"/>
        <w:b/>
        <w:color w:val="FF8000"/>
        <w:sz w:val="18"/>
      </w:rPr>
      <w:t>CONFIDENTIAL</w:t>
    </w:r>
    <w:r w:rsidR="00C82830">
      <w:rPr>
        <w:rStyle w:val="PageNumber"/>
        <w:rtl/>
      </w:rPr>
      <w:fldChar w:fldCharType="end"/>
    </w:r>
    <w:r w:rsidR="000E4870">
      <w:rPr>
        <w:rStyle w:val="PageNumber"/>
        <w:rtl/>
      </w:rPr>
      <w:fldChar w:fldCharType="begin"/>
    </w:r>
    <w:r w:rsidR="000E4870">
      <w:rPr>
        <w:rStyle w:val="PageNumber"/>
      </w:rPr>
      <w:instrText xml:space="preserve">PAGE  </w:instrText>
    </w:r>
    <w:r w:rsidR="000E4870">
      <w:rPr>
        <w:rStyle w:val="PageNumber"/>
        <w:rtl/>
      </w:rPr>
      <w:fldChar w:fldCharType="end"/>
    </w:r>
  </w:p>
  <w:p w14:paraId="726C2B54" w14:textId="77777777" w:rsidR="000E4870" w:rsidRDefault="000E4870" w:rsidP="00C828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9AC3" w14:textId="5B1BEBEA" w:rsidR="00C82830" w:rsidRDefault="00053553" w:rsidP="00C82830">
    <w:pPr>
      <w:pStyle w:val="Footer"/>
      <w:framePr w:wrap="around" w:vAnchor="text" w:hAnchor="text" w:xAlign="center" w:y="1"/>
      <w:bidi w:val="0"/>
      <w:rPr>
        <w:rStyle w:val="PageNumber"/>
      </w:rPr>
    </w:pPr>
    <w:r>
      <w:rPr>
        <w:noProof/>
      </w:rPr>
      <mc:AlternateContent>
        <mc:Choice Requires="wps">
          <w:drawing>
            <wp:anchor distT="0" distB="0" distL="0" distR="0" simplePos="0" relativeHeight="251660288" behindDoc="0" locked="0" layoutInCell="1" allowOverlap="1" wp14:anchorId="59364F77" wp14:editId="00B02931">
              <wp:simplePos x="857250" y="10239375"/>
              <wp:positionH relativeFrom="page">
                <wp:align>left</wp:align>
              </wp:positionH>
              <wp:positionV relativeFrom="page">
                <wp:align>bottom</wp:align>
              </wp:positionV>
              <wp:extent cx="1631950" cy="345440"/>
              <wp:effectExtent l="0" t="0" r="6350" b="0"/>
              <wp:wrapNone/>
              <wp:docPr id="1287700686" name="Text Box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1950" cy="345440"/>
                      </a:xfrm>
                      <a:prstGeom prst="rect">
                        <a:avLst/>
                      </a:prstGeom>
                      <a:noFill/>
                      <a:ln>
                        <a:noFill/>
                      </a:ln>
                    </wps:spPr>
                    <wps:txbx>
                      <w:txbxContent>
                        <w:p w14:paraId="7F24B40B" w14:textId="3E1C0088" w:rsidR="00053553" w:rsidRPr="00053553" w:rsidRDefault="00053553" w:rsidP="00053553">
                          <w:pPr>
                            <w:rPr>
                              <w:rFonts w:ascii="Aptos" w:eastAsia="Aptos" w:hAnsi="Aptos" w:cs="Aptos"/>
                              <w:noProof/>
                              <w:color w:val="0000FF"/>
                              <w:sz w:val="20"/>
                              <w:szCs w:val="20"/>
                            </w:rPr>
                          </w:pPr>
                          <w:r w:rsidRPr="00053553">
                            <w:rPr>
                              <w:rFonts w:ascii="Aptos" w:eastAsia="Aptos" w:hAnsi="Aptos" w:cs="Aptos"/>
                              <w:noProof/>
                              <w:color w:val="0000FF"/>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364F77" id="_x0000_t202" coordsize="21600,21600" o:spt="202" path="m,l,21600r21600,l21600,xe">
              <v:stroke joinstyle="miter"/>
              <v:path gradientshapeok="t" o:connecttype="rect"/>
            </v:shapetype>
            <v:shape id="Text Box 3" o:spid="_x0000_s1027" type="#_x0000_t202" alt="Classification: INTERNAL" style="position:absolute;margin-left:0;margin-top:0;width:128.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" filled="f" stroked="f">
              <v:textbox style="mso-fit-shape-to-text:t" inset="20pt,0,0,15pt">
                <w:txbxContent>
                  <w:p w14:paraId="7F24B40B" w14:textId="3E1C0088" w:rsidR="00053553" w:rsidRPr="00053553" w:rsidRDefault="00053553" w:rsidP="00053553">
                    <w:pPr>
                      <w:rPr>
                        <w:rFonts w:ascii="Aptos" w:eastAsia="Aptos" w:hAnsi="Aptos" w:cs="Aptos"/>
                        <w:noProof/>
                        <w:color w:val="0000FF"/>
                        <w:sz w:val="20"/>
                        <w:szCs w:val="20"/>
                      </w:rPr>
                    </w:pPr>
                    <w:r w:rsidRPr="00053553">
                      <w:rPr>
                        <w:rFonts w:ascii="Aptos" w:eastAsia="Aptos" w:hAnsi="Aptos" w:cs="Aptos"/>
                        <w:noProof/>
                        <w:color w:val="0000FF"/>
                        <w:sz w:val="20"/>
                        <w:szCs w:val="20"/>
                      </w:rPr>
                      <w:t>Classification: INTERNAL</w:t>
                    </w:r>
                  </w:p>
                </w:txbxContent>
              </v:textbox>
              <w10:wrap anchorx="page" anchory="page"/>
            </v:shape>
          </w:pict>
        </mc:Fallback>
      </mc:AlternateContent>
    </w:r>
    <w:r w:rsidR="00C82830">
      <w:rPr>
        <w:rStyle w:val="PageNumber"/>
      </w:rPr>
      <w:fldChar w:fldCharType="begin" w:fldLock="1"/>
    </w:r>
    <w:r w:rsidR="00C82830">
      <w:rPr>
        <w:rStyle w:val="PageNumber"/>
      </w:rPr>
      <w:instrText xml:space="preserve"> DOCPROPERTY bjFooterBothDocProperty \* MERGEFORMAT </w:instrText>
    </w:r>
    <w:r w:rsidR="00C82830">
      <w:rPr>
        <w:rStyle w:val="PageNumber"/>
      </w:rPr>
      <w:fldChar w:fldCharType="separate"/>
    </w:r>
    <w:r w:rsidR="00C82830" w:rsidRPr="00C82830">
      <w:rPr>
        <w:rStyle w:val="PageNumber"/>
        <w:rFonts w:ascii="Cambria" w:hAnsi="Cambria"/>
        <w:color w:val="000000"/>
        <w:sz w:val="18"/>
      </w:rPr>
      <w:t xml:space="preserve">Classification: </w:t>
    </w:r>
    <w:r w:rsidR="00C82830" w:rsidRPr="00C82830">
      <w:rPr>
        <w:rStyle w:val="PageNumber"/>
        <w:rFonts w:ascii="Cambria" w:hAnsi="Cambria"/>
        <w:b/>
        <w:color w:val="FF8000"/>
        <w:sz w:val="18"/>
      </w:rPr>
      <w:t>CONFIDENTIAL</w:t>
    </w:r>
    <w:r w:rsidR="00C82830">
      <w:rPr>
        <w:rStyle w:val="PageNumber"/>
      </w:rPr>
      <w:fldChar w:fldCharType="end"/>
    </w:r>
  </w:p>
  <w:p w14:paraId="02F8188D" w14:textId="6A7DC432" w:rsidR="000E4870" w:rsidRDefault="000E4870" w:rsidP="00C82830">
    <w:pPr>
      <w:pStyle w:val="Footer"/>
      <w:framePr w:wrap="around" w:vAnchor="text" w:hAnchor="text" w:xAlign="center" w:y="1"/>
      <w:bidi w:val="0"/>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D4CA3" w14:textId="1BC59AA6" w:rsidR="000E4870" w:rsidRPr="00C82830" w:rsidRDefault="00053553" w:rsidP="00C82830">
    <w:pPr>
      <w:pStyle w:val="Footer"/>
    </w:pPr>
    <w:r>
      <w:rPr>
        <w:noProof/>
      </w:rPr>
      <mc:AlternateContent>
        <mc:Choice Requires="wps">
          <w:drawing>
            <wp:anchor distT="0" distB="0" distL="0" distR="0" simplePos="0" relativeHeight="251658240" behindDoc="0" locked="0" layoutInCell="1" allowOverlap="1" wp14:anchorId="06CAA2DB" wp14:editId="3343E840">
              <wp:simplePos x="635" y="635"/>
              <wp:positionH relativeFrom="page">
                <wp:align>left</wp:align>
              </wp:positionH>
              <wp:positionV relativeFrom="page">
                <wp:align>bottom</wp:align>
              </wp:positionV>
              <wp:extent cx="1631950" cy="345440"/>
              <wp:effectExtent l="0" t="0" r="6350" b="0"/>
              <wp:wrapNone/>
              <wp:docPr id="1629812843" name="Text Box 1"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1950" cy="345440"/>
                      </a:xfrm>
                      <a:prstGeom prst="rect">
                        <a:avLst/>
                      </a:prstGeom>
                      <a:noFill/>
                      <a:ln>
                        <a:noFill/>
                      </a:ln>
                    </wps:spPr>
                    <wps:txbx>
                      <w:txbxContent>
                        <w:p w14:paraId="5427A72E" w14:textId="10456A27" w:rsidR="00053553" w:rsidRPr="00053553" w:rsidRDefault="00053553" w:rsidP="00053553">
                          <w:pPr>
                            <w:rPr>
                              <w:rFonts w:ascii="Aptos" w:eastAsia="Aptos" w:hAnsi="Aptos" w:cs="Aptos"/>
                              <w:noProof/>
                              <w:color w:val="0000FF"/>
                              <w:sz w:val="20"/>
                              <w:szCs w:val="20"/>
                            </w:rPr>
                          </w:pPr>
                          <w:r w:rsidRPr="00053553">
                            <w:rPr>
                              <w:rFonts w:ascii="Aptos" w:eastAsia="Aptos" w:hAnsi="Aptos" w:cs="Aptos"/>
                              <w:noProof/>
                              <w:color w:val="0000FF"/>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CAA2DB" id="_x0000_t202" coordsize="21600,21600" o:spt="202" path="m,l,21600r21600,l21600,xe">
              <v:stroke joinstyle="miter"/>
              <v:path gradientshapeok="t" o:connecttype="rect"/>
            </v:shapetype>
            <v:shape id="Text Box 1" o:spid="_x0000_s1028" type="#_x0000_t202" alt="Classification: INTERNAL" style="position:absolute;left:0;text-align:left;margin-left:0;margin-top:0;width:128.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" filled="f" stroked="f">
              <v:textbox style="mso-fit-shape-to-text:t" inset="20pt,0,0,15pt">
                <w:txbxContent>
                  <w:p w14:paraId="5427A72E" w14:textId="10456A27" w:rsidR="00053553" w:rsidRPr="00053553" w:rsidRDefault="00053553" w:rsidP="00053553">
                    <w:pPr>
                      <w:rPr>
                        <w:rFonts w:ascii="Aptos" w:eastAsia="Aptos" w:hAnsi="Aptos" w:cs="Aptos"/>
                        <w:noProof/>
                        <w:color w:val="0000FF"/>
                        <w:sz w:val="20"/>
                        <w:szCs w:val="20"/>
                      </w:rPr>
                    </w:pPr>
                    <w:r w:rsidRPr="00053553">
                      <w:rPr>
                        <w:rFonts w:ascii="Aptos" w:eastAsia="Aptos" w:hAnsi="Aptos" w:cs="Aptos"/>
                        <w:noProof/>
                        <w:color w:val="0000FF"/>
                        <w:sz w:val="20"/>
                        <w:szCs w:val="20"/>
                      </w:rPr>
                      <w:t>Classification: INTERNAL</w:t>
                    </w:r>
                  </w:p>
                </w:txbxContent>
              </v:textbox>
              <w10:wrap anchorx="page" anchory="page"/>
            </v:shape>
          </w:pict>
        </mc:Fallback>
      </mc:AlternateContent>
    </w:r>
    <w:fldSimple w:instr=" DOCPROPERTY bjFooterFirstPageDocProperty \* MERGEFORMAT " w:fldLock="1">
      <w:r w:rsidR="00C82830" w:rsidRPr="00C82830">
        <w:rPr>
          <w:rFonts w:ascii="Cambria" w:hAnsi="Cambria"/>
          <w:color w:val="000000"/>
          <w:sz w:val="18"/>
        </w:rPr>
        <w:t xml:space="preserve">Classification: </w:t>
      </w:r>
      <w:r w:rsidR="00C82830" w:rsidRPr="00C82830">
        <w:rPr>
          <w:rFonts w:ascii="Cambria" w:hAnsi="Cambria"/>
          <w:b/>
          <w:color w:val="FF8000"/>
          <w:sz w:val="18"/>
        </w:rPr>
        <w:t>CONFIDENTIAL</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4E49A" w14:textId="77777777" w:rsidR="000000C2" w:rsidRDefault="000000C2">
      <w:r>
        <w:separator/>
      </w:r>
    </w:p>
  </w:footnote>
  <w:footnote w:type="continuationSeparator" w:id="0">
    <w:p w14:paraId="542DF2D1" w14:textId="77777777" w:rsidR="000000C2" w:rsidRDefault="00000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4629" w14:textId="77777777" w:rsidR="00105E7A" w:rsidRDefault="00105E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DA8F" w14:textId="77777777" w:rsidR="00105E7A" w:rsidRDefault="00105E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8482C" w14:textId="77777777" w:rsidR="00105E7A" w:rsidRDefault="00105E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324"/>
    <w:multiLevelType w:val="hybridMultilevel"/>
    <w:tmpl w:val="61C8CB2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 w15:restartNumberingAfterBreak="0">
    <w:nsid w:val="04415920"/>
    <w:multiLevelType w:val="hybridMultilevel"/>
    <w:tmpl w:val="AA32BF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752F3"/>
    <w:multiLevelType w:val="hybridMultilevel"/>
    <w:tmpl w:val="FFB2DE9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0C2472AA"/>
    <w:multiLevelType w:val="multilevel"/>
    <w:tmpl w:val="7076D9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CD04A67"/>
    <w:multiLevelType w:val="hybridMultilevel"/>
    <w:tmpl w:val="199E4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44000A"/>
    <w:multiLevelType w:val="hybridMultilevel"/>
    <w:tmpl w:val="4A146316"/>
    <w:lvl w:ilvl="0" w:tplc="04090001">
      <w:start w:val="1"/>
      <w:numFmt w:val="bullet"/>
      <w:lvlText w:val=""/>
      <w:lvlJc w:val="left"/>
      <w:pPr>
        <w:ind w:left="787" w:hanging="360"/>
      </w:pPr>
      <w:rPr>
        <w:rFonts w:ascii="Symbol" w:hAnsi="Symbol" w:hint="default"/>
      </w:rPr>
    </w:lvl>
    <w:lvl w:ilvl="1" w:tplc="BFBC32E0">
      <w:numFmt w:val="bullet"/>
      <w:lvlText w:val="•"/>
      <w:lvlJc w:val="left"/>
      <w:pPr>
        <w:ind w:left="1507" w:hanging="360"/>
      </w:pPr>
      <w:rPr>
        <w:rFonts w:ascii="Times New Roman" w:eastAsia="Times New Roman" w:hAnsi="Times New Roman" w:cs="Times New Roman"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6" w15:restartNumberingAfterBreak="0">
    <w:nsid w:val="1B216D2B"/>
    <w:multiLevelType w:val="hybridMultilevel"/>
    <w:tmpl w:val="BE100656"/>
    <w:lvl w:ilvl="0" w:tplc="E86615E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AF2F66"/>
    <w:multiLevelType w:val="hybridMultilevel"/>
    <w:tmpl w:val="25FEF748"/>
    <w:lvl w:ilvl="0" w:tplc="0409001B">
      <w:start w:val="1"/>
      <w:numFmt w:val="lowerRoman"/>
      <w:lvlText w:val="%1."/>
      <w:lvlJc w:val="righ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B950BC"/>
    <w:multiLevelType w:val="hybridMultilevel"/>
    <w:tmpl w:val="16786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343238"/>
    <w:multiLevelType w:val="hybridMultilevel"/>
    <w:tmpl w:val="BC5241C8"/>
    <w:lvl w:ilvl="0" w:tplc="065438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91FF8"/>
    <w:multiLevelType w:val="hybridMultilevel"/>
    <w:tmpl w:val="7092FC46"/>
    <w:lvl w:ilvl="0" w:tplc="065438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A73F8A"/>
    <w:multiLevelType w:val="hybridMultilevel"/>
    <w:tmpl w:val="470E61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E830FA"/>
    <w:multiLevelType w:val="multilevel"/>
    <w:tmpl w:val="4B44F3D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C94538"/>
    <w:multiLevelType w:val="hybridMultilevel"/>
    <w:tmpl w:val="4C9A4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415D6"/>
    <w:multiLevelType w:val="hybridMultilevel"/>
    <w:tmpl w:val="A94C787C"/>
    <w:lvl w:ilvl="0" w:tplc="E85469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ED5991"/>
    <w:multiLevelType w:val="hybridMultilevel"/>
    <w:tmpl w:val="CB88B458"/>
    <w:lvl w:ilvl="0" w:tplc="0409001B">
      <w:start w:val="1"/>
      <w:numFmt w:val="lowerRoman"/>
      <w:lvlText w:val="%1."/>
      <w:lvlJc w:val="righ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A8535B3"/>
    <w:multiLevelType w:val="hybridMultilevel"/>
    <w:tmpl w:val="8B0E2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3C7C8E"/>
    <w:multiLevelType w:val="hybridMultilevel"/>
    <w:tmpl w:val="0226B0BA"/>
    <w:lvl w:ilvl="0" w:tplc="1B70DC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402B3D"/>
    <w:multiLevelType w:val="hybridMultilevel"/>
    <w:tmpl w:val="21BA41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04D0F67"/>
    <w:multiLevelType w:val="hybridMultilevel"/>
    <w:tmpl w:val="3B769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401A8D"/>
    <w:multiLevelType w:val="hybridMultilevel"/>
    <w:tmpl w:val="21BC6E14"/>
    <w:lvl w:ilvl="0" w:tplc="3C2A7FE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A84333"/>
    <w:multiLevelType w:val="hybridMultilevel"/>
    <w:tmpl w:val="21D09FF6"/>
    <w:lvl w:ilvl="0" w:tplc="A2B69A7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9E3523"/>
    <w:multiLevelType w:val="hybridMultilevel"/>
    <w:tmpl w:val="6B8C4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535FF1"/>
    <w:multiLevelType w:val="hybridMultilevel"/>
    <w:tmpl w:val="224415C2"/>
    <w:lvl w:ilvl="0" w:tplc="F410B57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60E"/>
    <w:multiLevelType w:val="hybridMultilevel"/>
    <w:tmpl w:val="14B4C15A"/>
    <w:lvl w:ilvl="0" w:tplc="C288880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D72153"/>
    <w:multiLevelType w:val="hybridMultilevel"/>
    <w:tmpl w:val="5B7C260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6" w15:restartNumberingAfterBreak="0">
    <w:nsid w:val="5BB57D32"/>
    <w:multiLevelType w:val="hybridMultilevel"/>
    <w:tmpl w:val="3982B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716200"/>
    <w:multiLevelType w:val="hybridMultilevel"/>
    <w:tmpl w:val="0FDA5A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AF2D73"/>
    <w:multiLevelType w:val="hybridMultilevel"/>
    <w:tmpl w:val="B386CAE8"/>
    <w:lvl w:ilvl="0" w:tplc="BFBC32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2448D6"/>
    <w:multiLevelType w:val="hybridMultilevel"/>
    <w:tmpl w:val="FB94E49E"/>
    <w:lvl w:ilvl="0" w:tplc="6C9ADAEA">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3A3ACA"/>
    <w:multiLevelType w:val="hybridMultilevel"/>
    <w:tmpl w:val="A7108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0B720E"/>
    <w:multiLevelType w:val="hybridMultilevel"/>
    <w:tmpl w:val="508EC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024738"/>
    <w:multiLevelType w:val="hybridMultilevel"/>
    <w:tmpl w:val="D1BE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6B2BE3"/>
    <w:multiLevelType w:val="multilevel"/>
    <w:tmpl w:val="E13A30A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3C80E8A"/>
    <w:multiLevelType w:val="hybridMultilevel"/>
    <w:tmpl w:val="6724644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5" w15:restartNumberingAfterBreak="0">
    <w:nsid w:val="76305171"/>
    <w:multiLevelType w:val="multilevel"/>
    <w:tmpl w:val="47E45A8C"/>
    <w:lvl w:ilvl="0">
      <w:start w:val="304"/>
      <w:numFmt w:val="decimal"/>
      <w:lvlText w:val="%1."/>
      <w:lvlJc w:val="left"/>
      <w:pPr>
        <w:tabs>
          <w:tab w:val="num" w:pos="454"/>
        </w:tabs>
        <w:ind w:left="454" w:hanging="454"/>
      </w:pPr>
      <w:rPr>
        <w:rFonts w:hint="default"/>
        <w:sz w:val="24"/>
        <w:szCs w:val="24"/>
      </w:rPr>
    </w:lvl>
    <w:lvl w:ilvl="1">
      <w:start w:val="1"/>
      <w:numFmt w:val="lowerLetter"/>
      <w:lvlText w:val="%2."/>
      <w:lvlJc w:val="left"/>
      <w:pPr>
        <w:tabs>
          <w:tab w:val="num" w:pos="357"/>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7787A9F"/>
    <w:multiLevelType w:val="hybridMultilevel"/>
    <w:tmpl w:val="A1269970"/>
    <w:lvl w:ilvl="0" w:tplc="8A5EE4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3D6B05"/>
    <w:multiLevelType w:val="hybridMultilevel"/>
    <w:tmpl w:val="C8C4B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B6747B"/>
    <w:multiLevelType w:val="hybridMultilevel"/>
    <w:tmpl w:val="B2FE3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FF50D7"/>
    <w:multiLevelType w:val="hybridMultilevel"/>
    <w:tmpl w:val="1376ED94"/>
    <w:lvl w:ilvl="0" w:tplc="065438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180945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514306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2259505">
    <w:abstractNumId w:val="12"/>
  </w:num>
  <w:num w:numId="4" w16cid:durableId="1042513229">
    <w:abstractNumId w:val="35"/>
  </w:num>
  <w:num w:numId="5" w16cid:durableId="278687707">
    <w:abstractNumId w:val="18"/>
  </w:num>
  <w:num w:numId="6" w16cid:durableId="436221228">
    <w:abstractNumId w:val="15"/>
  </w:num>
  <w:num w:numId="7" w16cid:durableId="121047251">
    <w:abstractNumId w:val="7"/>
  </w:num>
  <w:num w:numId="8" w16cid:durableId="107047169">
    <w:abstractNumId w:val="26"/>
  </w:num>
  <w:num w:numId="9" w16cid:durableId="2044475877">
    <w:abstractNumId w:val="1"/>
  </w:num>
  <w:num w:numId="10" w16cid:durableId="750470663">
    <w:abstractNumId w:val="11"/>
  </w:num>
  <w:num w:numId="11" w16cid:durableId="1686857709">
    <w:abstractNumId w:val="2"/>
  </w:num>
  <w:num w:numId="12" w16cid:durableId="143007278">
    <w:abstractNumId w:val="29"/>
  </w:num>
  <w:num w:numId="13" w16cid:durableId="944769208">
    <w:abstractNumId w:val="6"/>
  </w:num>
  <w:num w:numId="14" w16cid:durableId="1613393062">
    <w:abstractNumId w:val="14"/>
  </w:num>
  <w:num w:numId="15" w16cid:durableId="1214200702">
    <w:abstractNumId w:val="37"/>
  </w:num>
  <w:num w:numId="16" w16cid:durableId="1547986337">
    <w:abstractNumId w:val="30"/>
  </w:num>
  <w:num w:numId="17" w16cid:durableId="1120492139">
    <w:abstractNumId w:val="31"/>
  </w:num>
  <w:num w:numId="18" w16cid:durableId="1429887056">
    <w:abstractNumId w:val="22"/>
  </w:num>
  <w:num w:numId="19" w16cid:durableId="800423121">
    <w:abstractNumId w:val="38"/>
  </w:num>
  <w:num w:numId="20" w16cid:durableId="163281373">
    <w:abstractNumId w:val="36"/>
  </w:num>
  <w:num w:numId="21" w16cid:durableId="584800596">
    <w:abstractNumId w:val="21"/>
  </w:num>
  <w:num w:numId="22" w16cid:durableId="522331279">
    <w:abstractNumId w:val="20"/>
  </w:num>
  <w:num w:numId="23" w16cid:durableId="1351105759">
    <w:abstractNumId w:val="9"/>
  </w:num>
  <w:num w:numId="24" w16cid:durableId="1044140834">
    <w:abstractNumId w:val="10"/>
  </w:num>
  <w:num w:numId="25" w16cid:durableId="1727799299">
    <w:abstractNumId w:val="39"/>
  </w:num>
  <w:num w:numId="26" w16cid:durableId="914895989">
    <w:abstractNumId w:val="24"/>
  </w:num>
  <w:num w:numId="27" w16cid:durableId="1722442994">
    <w:abstractNumId w:val="17"/>
  </w:num>
  <w:num w:numId="28" w16cid:durableId="156961199">
    <w:abstractNumId w:val="34"/>
  </w:num>
  <w:num w:numId="29" w16cid:durableId="2028945074">
    <w:abstractNumId w:val="25"/>
  </w:num>
  <w:num w:numId="30" w16cid:durableId="1694113110">
    <w:abstractNumId w:val="0"/>
  </w:num>
  <w:num w:numId="31" w16cid:durableId="1093434581">
    <w:abstractNumId w:val="5"/>
  </w:num>
  <w:num w:numId="32" w16cid:durableId="2009091222">
    <w:abstractNumId w:val="32"/>
  </w:num>
  <w:num w:numId="33" w16cid:durableId="1995254162">
    <w:abstractNumId w:val="13"/>
  </w:num>
  <w:num w:numId="34" w16cid:durableId="944651291">
    <w:abstractNumId w:val="19"/>
  </w:num>
  <w:num w:numId="35" w16cid:durableId="647438266">
    <w:abstractNumId w:val="27"/>
  </w:num>
  <w:num w:numId="36" w16cid:durableId="607196895">
    <w:abstractNumId w:val="4"/>
  </w:num>
  <w:num w:numId="37" w16cid:durableId="1064109747">
    <w:abstractNumId w:val="8"/>
  </w:num>
  <w:num w:numId="38" w16cid:durableId="1828353803">
    <w:abstractNumId w:val="16"/>
  </w:num>
  <w:num w:numId="39" w16cid:durableId="464272653">
    <w:abstractNumId w:val="28"/>
  </w:num>
  <w:num w:numId="40" w16cid:durableId="9909851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rya Subrahmanyam">
    <w15:presenceInfo w15:providerId="AD" w15:userId="S::1034@ibkuwt.com::cc3e47a5-b8c3-441c-89c1-e1ca8c368187"/>
  </w15:person>
  <w15:person w15:author="Yasmeen ElShazly">
    <w15:presenceInfo w15:providerId="AD" w15:userId="S::1025@ibkuwt.com::21f66d9a-53c5-406c-a078-90bb153081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08C"/>
    <w:rsid w:val="000000C2"/>
    <w:rsid w:val="0000093D"/>
    <w:rsid w:val="00001766"/>
    <w:rsid w:val="00001FF7"/>
    <w:rsid w:val="00002180"/>
    <w:rsid w:val="000024A3"/>
    <w:rsid w:val="000040C4"/>
    <w:rsid w:val="000043BA"/>
    <w:rsid w:val="0000477F"/>
    <w:rsid w:val="00004E05"/>
    <w:rsid w:val="00004F4A"/>
    <w:rsid w:val="00005362"/>
    <w:rsid w:val="0000708B"/>
    <w:rsid w:val="00007BF6"/>
    <w:rsid w:val="0001047E"/>
    <w:rsid w:val="00010B2B"/>
    <w:rsid w:val="00010FF7"/>
    <w:rsid w:val="00012813"/>
    <w:rsid w:val="000137E9"/>
    <w:rsid w:val="00013FE5"/>
    <w:rsid w:val="00014694"/>
    <w:rsid w:val="0001691D"/>
    <w:rsid w:val="00016998"/>
    <w:rsid w:val="00021324"/>
    <w:rsid w:val="0002233A"/>
    <w:rsid w:val="00023010"/>
    <w:rsid w:val="00024332"/>
    <w:rsid w:val="00025E26"/>
    <w:rsid w:val="000269BE"/>
    <w:rsid w:val="00030A75"/>
    <w:rsid w:val="00031304"/>
    <w:rsid w:val="00031513"/>
    <w:rsid w:val="00033233"/>
    <w:rsid w:val="00033F7C"/>
    <w:rsid w:val="00034729"/>
    <w:rsid w:val="00035225"/>
    <w:rsid w:val="00035872"/>
    <w:rsid w:val="000374B1"/>
    <w:rsid w:val="00037FD7"/>
    <w:rsid w:val="00041E42"/>
    <w:rsid w:val="000422B9"/>
    <w:rsid w:val="00042DC3"/>
    <w:rsid w:val="0004333F"/>
    <w:rsid w:val="0004346E"/>
    <w:rsid w:val="00043F5E"/>
    <w:rsid w:val="000444BF"/>
    <w:rsid w:val="00044AC5"/>
    <w:rsid w:val="0004511A"/>
    <w:rsid w:val="000456A5"/>
    <w:rsid w:val="000456BE"/>
    <w:rsid w:val="000466AD"/>
    <w:rsid w:val="00047343"/>
    <w:rsid w:val="0004758A"/>
    <w:rsid w:val="000478B6"/>
    <w:rsid w:val="00050709"/>
    <w:rsid w:val="00050B3D"/>
    <w:rsid w:val="00050F13"/>
    <w:rsid w:val="0005273F"/>
    <w:rsid w:val="00053553"/>
    <w:rsid w:val="000550B6"/>
    <w:rsid w:val="00055141"/>
    <w:rsid w:val="000559A7"/>
    <w:rsid w:val="0005750F"/>
    <w:rsid w:val="00057B32"/>
    <w:rsid w:val="00057ECA"/>
    <w:rsid w:val="000617DD"/>
    <w:rsid w:val="000634E5"/>
    <w:rsid w:val="00063F1A"/>
    <w:rsid w:val="00065C08"/>
    <w:rsid w:val="00066EBC"/>
    <w:rsid w:val="000670D7"/>
    <w:rsid w:val="00070D53"/>
    <w:rsid w:val="000713DC"/>
    <w:rsid w:val="00072896"/>
    <w:rsid w:val="00072B28"/>
    <w:rsid w:val="00072E11"/>
    <w:rsid w:val="0007353D"/>
    <w:rsid w:val="00073860"/>
    <w:rsid w:val="00073914"/>
    <w:rsid w:val="00074D79"/>
    <w:rsid w:val="00075615"/>
    <w:rsid w:val="000756D3"/>
    <w:rsid w:val="00075F48"/>
    <w:rsid w:val="00077AA6"/>
    <w:rsid w:val="000801E8"/>
    <w:rsid w:val="0008095C"/>
    <w:rsid w:val="00083C91"/>
    <w:rsid w:val="00083DD4"/>
    <w:rsid w:val="000862CC"/>
    <w:rsid w:val="00086F8F"/>
    <w:rsid w:val="00090136"/>
    <w:rsid w:val="00090434"/>
    <w:rsid w:val="000921C9"/>
    <w:rsid w:val="00093278"/>
    <w:rsid w:val="00094794"/>
    <w:rsid w:val="00096483"/>
    <w:rsid w:val="000964D8"/>
    <w:rsid w:val="000972D5"/>
    <w:rsid w:val="000977AD"/>
    <w:rsid w:val="00097B7F"/>
    <w:rsid w:val="000A01BA"/>
    <w:rsid w:val="000A11A9"/>
    <w:rsid w:val="000A1ABC"/>
    <w:rsid w:val="000A380A"/>
    <w:rsid w:val="000A3FA6"/>
    <w:rsid w:val="000A748D"/>
    <w:rsid w:val="000A7D26"/>
    <w:rsid w:val="000B0CAC"/>
    <w:rsid w:val="000B2B57"/>
    <w:rsid w:val="000B3316"/>
    <w:rsid w:val="000B57AB"/>
    <w:rsid w:val="000B6901"/>
    <w:rsid w:val="000C1C73"/>
    <w:rsid w:val="000C21D1"/>
    <w:rsid w:val="000C2B41"/>
    <w:rsid w:val="000C2E18"/>
    <w:rsid w:val="000C31CB"/>
    <w:rsid w:val="000C4014"/>
    <w:rsid w:val="000C403F"/>
    <w:rsid w:val="000C4696"/>
    <w:rsid w:val="000C4B07"/>
    <w:rsid w:val="000C519B"/>
    <w:rsid w:val="000C5F3B"/>
    <w:rsid w:val="000C5FA7"/>
    <w:rsid w:val="000C6357"/>
    <w:rsid w:val="000C6989"/>
    <w:rsid w:val="000D032C"/>
    <w:rsid w:val="000D109A"/>
    <w:rsid w:val="000D1C94"/>
    <w:rsid w:val="000D252E"/>
    <w:rsid w:val="000D274C"/>
    <w:rsid w:val="000D3578"/>
    <w:rsid w:val="000D5CD2"/>
    <w:rsid w:val="000D65EF"/>
    <w:rsid w:val="000D67C3"/>
    <w:rsid w:val="000D76A1"/>
    <w:rsid w:val="000E4870"/>
    <w:rsid w:val="000E53E2"/>
    <w:rsid w:val="000E5DF2"/>
    <w:rsid w:val="000E69D5"/>
    <w:rsid w:val="000E7433"/>
    <w:rsid w:val="000E7844"/>
    <w:rsid w:val="000F21FC"/>
    <w:rsid w:val="000F2D9D"/>
    <w:rsid w:val="000F2EB4"/>
    <w:rsid w:val="000F318B"/>
    <w:rsid w:val="000F3D8A"/>
    <w:rsid w:val="000F784C"/>
    <w:rsid w:val="00102667"/>
    <w:rsid w:val="00103DC6"/>
    <w:rsid w:val="001055D0"/>
    <w:rsid w:val="00105E7A"/>
    <w:rsid w:val="00106DC8"/>
    <w:rsid w:val="00106F51"/>
    <w:rsid w:val="001109F1"/>
    <w:rsid w:val="00110A31"/>
    <w:rsid w:val="00114655"/>
    <w:rsid w:val="00114927"/>
    <w:rsid w:val="00115606"/>
    <w:rsid w:val="00120353"/>
    <w:rsid w:val="00120E86"/>
    <w:rsid w:val="0012114D"/>
    <w:rsid w:val="0012140D"/>
    <w:rsid w:val="001221F7"/>
    <w:rsid w:val="00122F8A"/>
    <w:rsid w:val="0012493F"/>
    <w:rsid w:val="00124CC8"/>
    <w:rsid w:val="0012569D"/>
    <w:rsid w:val="00130980"/>
    <w:rsid w:val="00130AA0"/>
    <w:rsid w:val="00130B48"/>
    <w:rsid w:val="00130FDA"/>
    <w:rsid w:val="00131B91"/>
    <w:rsid w:val="00131C99"/>
    <w:rsid w:val="00131F42"/>
    <w:rsid w:val="001329B4"/>
    <w:rsid w:val="00132D1B"/>
    <w:rsid w:val="00133AEB"/>
    <w:rsid w:val="00135F08"/>
    <w:rsid w:val="00136087"/>
    <w:rsid w:val="0013609F"/>
    <w:rsid w:val="00137ABB"/>
    <w:rsid w:val="001402BF"/>
    <w:rsid w:val="001405F7"/>
    <w:rsid w:val="00140833"/>
    <w:rsid w:val="00140CE3"/>
    <w:rsid w:val="0014235C"/>
    <w:rsid w:val="001439FB"/>
    <w:rsid w:val="00143E46"/>
    <w:rsid w:val="00145169"/>
    <w:rsid w:val="00145B68"/>
    <w:rsid w:val="00150060"/>
    <w:rsid w:val="00150FCC"/>
    <w:rsid w:val="001521F7"/>
    <w:rsid w:val="00152E4A"/>
    <w:rsid w:val="00152FAB"/>
    <w:rsid w:val="00160B35"/>
    <w:rsid w:val="001635EB"/>
    <w:rsid w:val="001646CC"/>
    <w:rsid w:val="00165BBB"/>
    <w:rsid w:val="001672D2"/>
    <w:rsid w:val="00167337"/>
    <w:rsid w:val="00167CDC"/>
    <w:rsid w:val="001705FA"/>
    <w:rsid w:val="00170FA5"/>
    <w:rsid w:val="0017120F"/>
    <w:rsid w:val="00172A5A"/>
    <w:rsid w:val="00174867"/>
    <w:rsid w:val="001750E4"/>
    <w:rsid w:val="00175DBC"/>
    <w:rsid w:val="0017682E"/>
    <w:rsid w:val="001818CC"/>
    <w:rsid w:val="00181AA3"/>
    <w:rsid w:val="00181ED5"/>
    <w:rsid w:val="0018286A"/>
    <w:rsid w:val="00182FDE"/>
    <w:rsid w:val="0018342D"/>
    <w:rsid w:val="00183DE2"/>
    <w:rsid w:val="00184E6C"/>
    <w:rsid w:val="0018503A"/>
    <w:rsid w:val="00185633"/>
    <w:rsid w:val="00186E79"/>
    <w:rsid w:val="00187AAE"/>
    <w:rsid w:val="00190ADF"/>
    <w:rsid w:val="00190B48"/>
    <w:rsid w:val="00190DE7"/>
    <w:rsid w:val="00191EF3"/>
    <w:rsid w:val="00192961"/>
    <w:rsid w:val="00192C13"/>
    <w:rsid w:val="0019354C"/>
    <w:rsid w:val="00193D42"/>
    <w:rsid w:val="0019652A"/>
    <w:rsid w:val="00196578"/>
    <w:rsid w:val="00197622"/>
    <w:rsid w:val="001A089F"/>
    <w:rsid w:val="001A35EB"/>
    <w:rsid w:val="001A3CB7"/>
    <w:rsid w:val="001A3FDF"/>
    <w:rsid w:val="001A4112"/>
    <w:rsid w:val="001A5AA9"/>
    <w:rsid w:val="001A74B9"/>
    <w:rsid w:val="001B1631"/>
    <w:rsid w:val="001B2219"/>
    <w:rsid w:val="001B3B5D"/>
    <w:rsid w:val="001B42C3"/>
    <w:rsid w:val="001B4C92"/>
    <w:rsid w:val="001B4EC2"/>
    <w:rsid w:val="001B5030"/>
    <w:rsid w:val="001B65BC"/>
    <w:rsid w:val="001B6D0F"/>
    <w:rsid w:val="001B7F7C"/>
    <w:rsid w:val="001C02A8"/>
    <w:rsid w:val="001C0400"/>
    <w:rsid w:val="001C2658"/>
    <w:rsid w:val="001C5742"/>
    <w:rsid w:val="001C5D30"/>
    <w:rsid w:val="001D0E93"/>
    <w:rsid w:val="001D0F21"/>
    <w:rsid w:val="001D12CE"/>
    <w:rsid w:val="001D1F82"/>
    <w:rsid w:val="001D2EA5"/>
    <w:rsid w:val="001D52E5"/>
    <w:rsid w:val="001D5A87"/>
    <w:rsid w:val="001D7FFE"/>
    <w:rsid w:val="001E0271"/>
    <w:rsid w:val="001E1F50"/>
    <w:rsid w:val="001E23D0"/>
    <w:rsid w:val="001E3293"/>
    <w:rsid w:val="001E4F17"/>
    <w:rsid w:val="001E5D73"/>
    <w:rsid w:val="001E71AB"/>
    <w:rsid w:val="001E71E5"/>
    <w:rsid w:val="001E7988"/>
    <w:rsid w:val="001F08C1"/>
    <w:rsid w:val="001F0B2F"/>
    <w:rsid w:val="001F1132"/>
    <w:rsid w:val="001F4E18"/>
    <w:rsid w:val="001F4FDF"/>
    <w:rsid w:val="00202AA2"/>
    <w:rsid w:val="0020442C"/>
    <w:rsid w:val="00205A6F"/>
    <w:rsid w:val="00205FAB"/>
    <w:rsid w:val="00206BBF"/>
    <w:rsid w:val="0021090F"/>
    <w:rsid w:val="0021180A"/>
    <w:rsid w:val="00212641"/>
    <w:rsid w:val="00212D16"/>
    <w:rsid w:val="00215064"/>
    <w:rsid w:val="00216392"/>
    <w:rsid w:val="002164F8"/>
    <w:rsid w:val="00217A4C"/>
    <w:rsid w:val="00217E52"/>
    <w:rsid w:val="00217FFE"/>
    <w:rsid w:val="00221745"/>
    <w:rsid w:val="0022240C"/>
    <w:rsid w:val="0022280F"/>
    <w:rsid w:val="00224126"/>
    <w:rsid w:val="002263AB"/>
    <w:rsid w:val="00226F11"/>
    <w:rsid w:val="002270F2"/>
    <w:rsid w:val="00230D27"/>
    <w:rsid w:val="00231274"/>
    <w:rsid w:val="00231479"/>
    <w:rsid w:val="002318F3"/>
    <w:rsid w:val="00232790"/>
    <w:rsid w:val="00235295"/>
    <w:rsid w:val="00237CE3"/>
    <w:rsid w:val="00237F99"/>
    <w:rsid w:val="00240BAF"/>
    <w:rsid w:val="00242A6F"/>
    <w:rsid w:val="00245F9F"/>
    <w:rsid w:val="0024639C"/>
    <w:rsid w:val="00247497"/>
    <w:rsid w:val="00250F1A"/>
    <w:rsid w:val="00251932"/>
    <w:rsid w:val="00252428"/>
    <w:rsid w:val="002528F5"/>
    <w:rsid w:val="00252F4B"/>
    <w:rsid w:val="00253A7A"/>
    <w:rsid w:val="002541FD"/>
    <w:rsid w:val="00254A83"/>
    <w:rsid w:val="00254DC4"/>
    <w:rsid w:val="00255790"/>
    <w:rsid w:val="002558DC"/>
    <w:rsid w:val="0025655C"/>
    <w:rsid w:val="0025721E"/>
    <w:rsid w:val="00262829"/>
    <w:rsid w:val="00262A19"/>
    <w:rsid w:val="00263279"/>
    <w:rsid w:val="00263289"/>
    <w:rsid w:val="00263335"/>
    <w:rsid w:val="00263F20"/>
    <w:rsid w:val="00264266"/>
    <w:rsid w:val="002647FA"/>
    <w:rsid w:val="00264EE8"/>
    <w:rsid w:val="002659DC"/>
    <w:rsid w:val="0026647E"/>
    <w:rsid w:val="00267485"/>
    <w:rsid w:val="0027096B"/>
    <w:rsid w:val="00271102"/>
    <w:rsid w:val="00271E9D"/>
    <w:rsid w:val="0027237A"/>
    <w:rsid w:val="002773E4"/>
    <w:rsid w:val="00277991"/>
    <w:rsid w:val="0028083E"/>
    <w:rsid w:val="00280E5C"/>
    <w:rsid w:val="002817AD"/>
    <w:rsid w:val="00284C12"/>
    <w:rsid w:val="00287413"/>
    <w:rsid w:val="00291121"/>
    <w:rsid w:val="00291AFB"/>
    <w:rsid w:val="00292EC3"/>
    <w:rsid w:val="002963A3"/>
    <w:rsid w:val="00297361"/>
    <w:rsid w:val="00297584"/>
    <w:rsid w:val="002A0DD7"/>
    <w:rsid w:val="002A1769"/>
    <w:rsid w:val="002A1B5D"/>
    <w:rsid w:val="002A3689"/>
    <w:rsid w:val="002A5C72"/>
    <w:rsid w:val="002A644C"/>
    <w:rsid w:val="002B10C1"/>
    <w:rsid w:val="002B216C"/>
    <w:rsid w:val="002B2AF0"/>
    <w:rsid w:val="002B3745"/>
    <w:rsid w:val="002B4EC5"/>
    <w:rsid w:val="002B72E3"/>
    <w:rsid w:val="002B782F"/>
    <w:rsid w:val="002C03F7"/>
    <w:rsid w:val="002C1865"/>
    <w:rsid w:val="002C342B"/>
    <w:rsid w:val="002C5C05"/>
    <w:rsid w:val="002C5D6D"/>
    <w:rsid w:val="002C7DCF"/>
    <w:rsid w:val="002D36AF"/>
    <w:rsid w:val="002D3A8E"/>
    <w:rsid w:val="002D40E0"/>
    <w:rsid w:val="002D6BD4"/>
    <w:rsid w:val="002E0F41"/>
    <w:rsid w:val="002E12EC"/>
    <w:rsid w:val="002E4FC3"/>
    <w:rsid w:val="002E6EA3"/>
    <w:rsid w:val="002E7379"/>
    <w:rsid w:val="002F0151"/>
    <w:rsid w:val="002F0BFD"/>
    <w:rsid w:val="002F1385"/>
    <w:rsid w:val="002F3551"/>
    <w:rsid w:val="002F39C4"/>
    <w:rsid w:val="002F4460"/>
    <w:rsid w:val="002F5421"/>
    <w:rsid w:val="002F5D50"/>
    <w:rsid w:val="002F7514"/>
    <w:rsid w:val="00302732"/>
    <w:rsid w:val="00302CA2"/>
    <w:rsid w:val="00303169"/>
    <w:rsid w:val="003034F5"/>
    <w:rsid w:val="003045EE"/>
    <w:rsid w:val="003047C2"/>
    <w:rsid w:val="003059C9"/>
    <w:rsid w:val="003078DE"/>
    <w:rsid w:val="00310756"/>
    <w:rsid w:val="00311C84"/>
    <w:rsid w:val="00312608"/>
    <w:rsid w:val="0031404A"/>
    <w:rsid w:val="00314488"/>
    <w:rsid w:val="00314B1D"/>
    <w:rsid w:val="00314C5C"/>
    <w:rsid w:val="0031506E"/>
    <w:rsid w:val="003158FD"/>
    <w:rsid w:val="00317B96"/>
    <w:rsid w:val="0032317B"/>
    <w:rsid w:val="00327553"/>
    <w:rsid w:val="00327DBB"/>
    <w:rsid w:val="003313D8"/>
    <w:rsid w:val="003318DF"/>
    <w:rsid w:val="00331A2B"/>
    <w:rsid w:val="00332298"/>
    <w:rsid w:val="0033321E"/>
    <w:rsid w:val="003338E5"/>
    <w:rsid w:val="00334401"/>
    <w:rsid w:val="00334E80"/>
    <w:rsid w:val="00335488"/>
    <w:rsid w:val="0034019A"/>
    <w:rsid w:val="00340CAB"/>
    <w:rsid w:val="003411AA"/>
    <w:rsid w:val="00344B0F"/>
    <w:rsid w:val="003502B1"/>
    <w:rsid w:val="003508E4"/>
    <w:rsid w:val="00351890"/>
    <w:rsid w:val="00352602"/>
    <w:rsid w:val="00352BDF"/>
    <w:rsid w:val="0035327B"/>
    <w:rsid w:val="0035385D"/>
    <w:rsid w:val="00353FDF"/>
    <w:rsid w:val="00357962"/>
    <w:rsid w:val="003604A5"/>
    <w:rsid w:val="00360A4B"/>
    <w:rsid w:val="00361712"/>
    <w:rsid w:val="00361E3B"/>
    <w:rsid w:val="003622EC"/>
    <w:rsid w:val="003628B8"/>
    <w:rsid w:val="00364357"/>
    <w:rsid w:val="003670C7"/>
    <w:rsid w:val="0036721F"/>
    <w:rsid w:val="00370CC9"/>
    <w:rsid w:val="00370DA1"/>
    <w:rsid w:val="003717D3"/>
    <w:rsid w:val="00373E67"/>
    <w:rsid w:val="00373F52"/>
    <w:rsid w:val="0037477A"/>
    <w:rsid w:val="0037552D"/>
    <w:rsid w:val="00375ADD"/>
    <w:rsid w:val="003761AB"/>
    <w:rsid w:val="00376AD4"/>
    <w:rsid w:val="0037748B"/>
    <w:rsid w:val="003804BA"/>
    <w:rsid w:val="003809AA"/>
    <w:rsid w:val="003812C8"/>
    <w:rsid w:val="003825B3"/>
    <w:rsid w:val="003830A3"/>
    <w:rsid w:val="0038437F"/>
    <w:rsid w:val="003848DC"/>
    <w:rsid w:val="003854CF"/>
    <w:rsid w:val="00387785"/>
    <w:rsid w:val="003901A9"/>
    <w:rsid w:val="00392486"/>
    <w:rsid w:val="0039262D"/>
    <w:rsid w:val="003942F8"/>
    <w:rsid w:val="0039628B"/>
    <w:rsid w:val="003A0DF5"/>
    <w:rsid w:val="003A0EAB"/>
    <w:rsid w:val="003A15C7"/>
    <w:rsid w:val="003A1D2B"/>
    <w:rsid w:val="003A2F9C"/>
    <w:rsid w:val="003A3FDC"/>
    <w:rsid w:val="003A4E6C"/>
    <w:rsid w:val="003A511B"/>
    <w:rsid w:val="003A7218"/>
    <w:rsid w:val="003A7622"/>
    <w:rsid w:val="003A7B00"/>
    <w:rsid w:val="003B1117"/>
    <w:rsid w:val="003B19D2"/>
    <w:rsid w:val="003B1A16"/>
    <w:rsid w:val="003B1BEC"/>
    <w:rsid w:val="003B3DF4"/>
    <w:rsid w:val="003B495E"/>
    <w:rsid w:val="003B6358"/>
    <w:rsid w:val="003B6961"/>
    <w:rsid w:val="003C0930"/>
    <w:rsid w:val="003C16D5"/>
    <w:rsid w:val="003C3B16"/>
    <w:rsid w:val="003C5549"/>
    <w:rsid w:val="003C62C8"/>
    <w:rsid w:val="003C6F57"/>
    <w:rsid w:val="003C7829"/>
    <w:rsid w:val="003C7BC8"/>
    <w:rsid w:val="003C7EEB"/>
    <w:rsid w:val="003D1C31"/>
    <w:rsid w:val="003D3231"/>
    <w:rsid w:val="003D4247"/>
    <w:rsid w:val="003D45D2"/>
    <w:rsid w:val="003D5046"/>
    <w:rsid w:val="003D5D9B"/>
    <w:rsid w:val="003E0663"/>
    <w:rsid w:val="003E0A56"/>
    <w:rsid w:val="003E49B5"/>
    <w:rsid w:val="003E4BC2"/>
    <w:rsid w:val="003E4C88"/>
    <w:rsid w:val="003E51D4"/>
    <w:rsid w:val="003E6518"/>
    <w:rsid w:val="003E67D4"/>
    <w:rsid w:val="003E69E4"/>
    <w:rsid w:val="003E6E7C"/>
    <w:rsid w:val="003E7281"/>
    <w:rsid w:val="003E7564"/>
    <w:rsid w:val="003E7C1F"/>
    <w:rsid w:val="003F08D9"/>
    <w:rsid w:val="003F1DAA"/>
    <w:rsid w:val="003F2FDD"/>
    <w:rsid w:val="003F3325"/>
    <w:rsid w:val="003F35E3"/>
    <w:rsid w:val="003F39FB"/>
    <w:rsid w:val="003F7E47"/>
    <w:rsid w:val="00400CE4"/>
    <w:rsid w:val="0040238E"/>
    <w:rsid w:val="00404488"/>
    <w:rsid w:val="00404BF7"/>
    <w:rsid w:val="0040644B"/>
    <w:rsid w:val="00406BF6"/>
    <w:rsid w:val="00410492"/>
    <w:rsid w:val="004104A7"/>
    <w:rsid w:val="00411B5E"/>
    <w:rsid w:val="00412462"/>
    <w:rsid w:val="00413B83"/>
    <w:rsid w:val="0041544E"/>
    <w:rsid w:val="0041623F"/>
    <w:rsid w:val="0041723E"/>
    <w:rsid w:val="00422072"/>
    <w:rsid w:val="004235C8"/>
    <w:rsid w:val="00423646"/>
    <w:rsid w:val="00423D62"/>
    <w:rsid w:val="0042579E"/>
    <w:rsid w:val="004270C5"/>
    <w:rsid w:val="00427810"/>
    <w:rsid w:val="00430629"/>
    <w:rsid w:val="00431DD7"/>
    <w:rsid w:val="00432AE7"/>
    <w:rsid w:val="00432BF1"/>
    <w:rsid w:val="00432CEF"/>
    <w:rsid w:val="00433C44"/>
    <w:rsid w:val="00434818"/>
    <w:rsid w:val="00434A35"/>
    <w:rsid w:val="0043528D"/>
    <w:rsid w:val="004355A9"/>
    <w:rsid w:val="00435DD3"/>
    <w:rsid w:val="00435E95"/>
    <w:rsid w:val="004365F8"/>
    <w:rsid w:val="00436C45"/>
    <w:rsid w:val="00437005"/>
    <w:rsid w:val="004375CE"/>
    <w:rsid w:val="00437CBC"/>
    <w:rsid w:val="004406F3"/>
    <w:rsid w:val="0044250A"/>
    <w:rsid w:val="004444F7"/>
    <w:rsid w:val="00445AB6"/>
    <w:rsid w:val="00447924"/>
    <w:rsid w:val="00447C15"/>
    <w:rsid w:val="0045051F"/>
    <w:rsid w:val="00450549"/>
    <w:rsid w:val="00450BFE"/>
    <w:rsid w:val="0045175C"/>
    <w:rsid w:val="004520B5"/>
    <w:rsid w:val="00453FD2"/>
    <w:rsid w:val="00454AB6"/>
    <w:rsid w:val="004568A5"/>
    <w:rsid w:val="0045739A"/>
    <w:rsid w:val="00457940"/>
    <w:rsid w:val="00460BF2"/>
    <w:rsid w:val="00460CCC"/>
    <w:rsid w:val="0046135B"/>
    <w:rsid w:val="00461EBE"/>
    <w:rsid w:val="00464212"/>
    <w:rsid w:val="00464CA0"/>
    <w:rsid w:val="00465A1A"/>
    <w:rsid w:val="00466C57"/>
    <w:rsid w:val="004673B3"/>
    <w:rsid w:val="00472284"/>
    <w:rsid w:val="00473774"/>
    <w:rsid w:val="0047385E"/>
    <w:rsid w:val="00473CDE"/>
    <w:rsid w:val="00475EAB"/>
    <w:rsid w:val="00480CE4"/>
    <w:rsid w:val="00481019"/>
    <w:rsid w:val="004821BF"/>
    <w:rsid w:val="0048294F"/>
    <w:rsid w:val="00483F11"/>
    <w:rsid w:val="00483FD8"/>
    <w:rsid w:val="004845B7"/>
    <w:rsid w:val="00487CF2"/>
    <w:rsid w:val="004919E6"/>
    <w:rsid w:val="00491AD4"/>
    <w:rsid w:val="00491FD2"/>
    <w:rsid w:val="00492452"/>
    <w:rsid w:val="004924A5"/>
    <w:rsid w:val="004925B3"/>
    <w:rsid w:val="00492E95"/>
    <w:rsid w:val="00493748"/>
    <w:rsid w:val="0049378E"/>
    <w:rsid w:val="00497BD1"/>
    <w:rsid w:val="004A0991"/>
    <w:rsid w:val="004A09C7"/>
    <w:rsid w:val="004A43CB"/>
    <w:rsid w:val="004A5839"/>
    <w:rsid w:val="004A61C8"/>
    <w:rsid w:val="004B20F9"/>
    <w:rsid w:val="004B43D5"/>
    <w:rsid w:val="004B52E2"/>
    <w:rsid w:val="004B5AC3"/>
    <w:rsid w:val="004B61E2"/>
    <w:rsid w:val="004C06BB"/>
    <w:rsid w:val="004C0ABB"/>
    <w:rsid w:val="004C4677"/>
    <w:rsid w:val="004C593F"/>
    <w:rsid w:val="004C5E42"/>
    <w:rsid w:val="004C6017"/>
    <w:rsid w:val="004C771D"/>
    <w:rsid w:val="004D0878"/>
    <w:rsid w:val="004D277C"/>
    <w:rsid w:val="004D3209"/>
    <w:rsid w:val="004D34A8"/>
    <w:rsid w:val="004D56E7"/>
    <w:rsid w:val="004D59BD"/>
    <w:rsid w:val="004D605F"/>
    <w:rsid w:val="004E18C7"/>
    <w:rsid w:val="004E290C"/>
    <w:rsid w:val="004E2C9E"/>
    <w:rsid w:val="004E56B9"/>
    <w:rsid w:val="004E62B8"/>
    <w:rsid w:val="004E6901"/>
    <w:rsid w:val="004E71FB"/>
    <w:rsid w:val="004F1AF5"/>
    <w:rsid w:val="004F247B"/>
    <w:rsid w:val="004F37AD"/>
    <w:rsid w:val="004F43F9"/>
    <w:rsid w:val="004F6E42"/>
    <w:rsid w:val="004F7C70"/>
    <w:rsid w:val="00502A1D"/>
    <w:rsid w:val="005039A4"/>
    <w:rsid w:val="00505774"/>
    <w:rsid w:val="005059E6"/>
    <w:rsid w:val="005071DF"/>
    <w:rsid w:val="00512806"/>
    <w:rsid w:val="00512BC7"/>
    <w:rsid w:val="00514626"/>
    <w:rsid w:val="00514FD1"/>
    <w:rsid w:val="00517058"/>
    <w:rsid w:val="00520C72"/>
    <w:rsid w:val="00521818"/>
    <w:rsid w:val="00523820"/>
    <w:rsid w:val="00524415"/>
    <w:rsid w:val="005249D7"/>
    <w:rsid w:val="005252F8"/>
    <w:rsid w:val="0053012F"/>
    <w:rsid w:val="00530D5F"/>
    <w:rsid w:val="00532F9B"/>
    <w:rsid w:val="0053307F"/>
    <w:rsid w:val="00536413"/>
    <w:rsid w:val="00536476"/>
    <w:rsid w:val="00536DF1"/>
    <w:rsid w:val="00542BDA"/>
    <w:rsid w:val="00542D48"/>
    <w:rsid w:val="00543A32"/>
    <w:rsid w:val="00546DBD"/>
    <w:rsid w:val="0054709F"/>
    <w:rsid w:val="005471A0"/>
    <w:rsid w:val="00547B09"/>
    <w:rsid w:val="00547E69"/>
    <w:rsid w:val="0055061F"/>
    <w:rsid w:val="005526B4"/>
    <w:rsid w:val="00553933"/>
    <w:rsid w:val="005541A1"/>
    <w:rsid w:val="005562F4"/>
    <w:rsid w:val="00556A0E"/>
    <w:rsid w:val="0055755B"/>
    <w:rsid w:val="0055774E"/>
    <w:rsid w:val="00557E70"/>
    <w:rsid w:val="00561103"/>
    <w:rsid w:val="00562846"/>
    <w:rsid w:val="00562CCE"/>
    <w:rsid w:val="00564872"/>
    <w:rsid w:val="00564F2B"/>
    <w:rsid w:val="00565268"/>
    <w:rsid w:val="005652A9"/>
    <w:rsid w:val="00566A81"/>
    <w:rsid w:val="00570135"/>
    <w:rsid w:val="00571291"/>
    <w:rsid w:val="0057130C"/>
    <w:rsid w:val="005737D6"/>
    <w:rsid w:val="00573F0D"/>
    <w:rsid w:val="0057437E"/>
    <w:rsid w:val="00574C89"/>
    <w:rsid w:val="00575551"/>
    <w:rsid w:val="005757CF"/>
    <w:rsid w:val="00576FDE"/>
    <w:rsid w:val="00576FEB"/>
    <w:rsid w:val="00577F31"/>
    <w:rsid w:val="00580FEB"/>
    <w:rsid w:val="00581BC6"/>
    <w:rsid w:val="005839DC"/>
    <w:rsid w:val="00584702"/>
    <w:rsid w:val="00585C69"/>
    <w:rsid w:val="005866F1"/>
    <w:rsid w:val="005900AA"/>
    <w:rsid w:val="0059011F"/>
    <w:rsid w:val="005925F2"/>
    <w:rsid w:val="00592906"/>
    <w:rsid w:val="00593CA6"/>
    <w:rsid w:val="00595F8F"/>
    <w:rsid w:val="00596573"/>
    <w:rsid w:val="005A1389"/>
    <w:rsid w:val="005A1528"/>
    <w:rsid w:val="005A1FA9"/>
    <w:rsid w:val="005A26BA"/>
    <w:rsid w:val="005A2958"/>
    <w:rsid w:val="005A2AE3"/>
    <w:rsid w:val="005A36BD"/>
    <w:rsid w:val="005A4571"/>
    <w:rsid w:val="005A79AD"/>
    <w:rsid w:val="005B2522"/>
    <w:rsid w:val="005B34C3"/>
    <w:rsid w:val="005B5F02"/>
    <w:rsid w:val="005B7858"/>
    <w:rsid w:val="005C0755"/>
    <w:rsid w:val="005C1814"/>
    <w:rsid w:val="005C1B48"/>
    <w:rsid w:val="005C3101"/>
    <w:rsid w:val="005C31CC"/>
    <w:rsid w:val="005C3A76"/>
    <w:rsid w:val="005C4F08"/>
    <w:rsid w:val="005C5846"/>
    <w:rsid w:val="005C626F"/>
    <w:rsid w:val="005D1224"/>
    <w:rsid w:val="005D32B5"/>
    <w:rsid w:val="005D350C"/>
    <w:rsid w:val="005D5468"/>
    <w:rsid w:val="005D64C4"/>
    <w:rsid w:val="005D71FB"/>
    <w:rsid w:val="005E046E"/>
    <w:rsid w:val="005E0D8F"/>
    <w:rsid w:val="005E1E4F"/>
    <w:rsid w:val="005E29E2"/>
    <w:rsid w:val="005E3A96"/>
    <w:rsid w:val="005E4C39"/>
    <w:rsid w:val="005E50C9"/>
    <w:rsid w:val="005E53D5"/>
    <w:rsid w:val="005E6898"/>
    <w:rsid w:val="005F04A5"/>
    <w:rsid w:val="005F08C2"/>
    <w:rsid w:val="005F17B2"/>
    <w:rsid w:val="005F1A39"/>
    <w:rsid w:val="005F2B3F"/>
    <w:rsid w:val="005F3E8F"/>
    <w:rsid w:val="005F6762"/>
    <w:rsid w:val="00600D8C"/>
    <w:rsid w:val="00601D57"/>
    <w:rsid w:val="00602FCD"/>
    <w:rsid w:val="00603DC1"/>
    <w:rsid w:val="00604B56"/>
    <w:rsid w:val="00605402"/>
    <w:rsid w:val="00605A8C"/>
    <w:rsid w:val="0060749B"/>
    <w:rsid w:val="006106C4"/>
    <w:rsid w:val="00611C26"/>
    <w:rsid w:val="00612D52"/>
    <w:rsid w:val="00616A78"/>
    <w:rsid w:val="0061704E"/>
    <w:rsid w:val="00617B1F"/>
    <w:rsid w:val="00617D0C"/>
    <w:rsid w:val="0062060C"/>
    <w:rsid w:val="00620934"/>
    <w:rsid w:val="00621EAB"/>
    <w:rsid w:val="00623980"/>
    <w:rsid w:val="0062493B"/>
    <w:rsid w:val="00626B87"/>
    <w:rsid w:val="00626C41"/>
    <w:rsid w:val="006276BC"/>
    <w:rsid w:val="0063062E"/>
    <w:rsid w:val="00631B49"/>
    <w:rsid w:val="00632559"/>
    <w:rsid w:val="006368AE"/>
    <w:rsid w:val="00637505"/>
    <w:rsid w:val="00637BFE"/>
    <w:rsid w:val="0064010C"/>
    <w:rsid w:val="00641CBF"/>
    <w:rsid w:val="00641E47"/>
    <w:rsid w:val="00643796"/>
    <w:rsid w:val="006442DE"/>
    <w:rsid w:val="0064445E"/>
    <w:rsid w:val="0064579D"/>
    <w:rsid w:val="0064788F"/>
    <w:rsid w:val="0065218C"/>
    <w:rsid w:val="00652F3D"/>
    <w:rsid w:val="00653430"/>
    <w:rsid w:val="00653A1B"/>
    <w:rsid w:val="00656448"/>
    <w:rsid w:val="00656A40"/>
    <w:rsid w:val="00656C0D"/>
    <w:rsid w:val="00657469"/>
    <w:rsid w:val="00660B7E"/>
    <w:rsid w:val="00662080"/>
    <w:rsid w:val="00662F73"/>
    <w:rsid w:val="00663852"/>
    <w:rsid w:val="006657D6"/>
    <w:rsid w:val="00665971"/>
    <w:rsid w:val="00670B09"/>
    <w:rsid w:val="00670FD8"/>
    <w:rsid w:val="0067168E"/>
    <w:rsid w:val="00671AC9"/>
    <w:rsid w:val="00672358"/>
    <w:rsid w:val="00672588"/>
    <w:rsid w:val="006728ED"/>
    <w:rsid w:val="00672D49"/>
    <w:rsid w:val="00673D4F"/>
    <w:rsid w:val="00674C76"/>
    <w:rsid w:val="00677A21"/>
    <w:rsid w:val="00680DCC"/>
    <w:rsid w:val="00680E06"/>
    <w:rsid w:val="00683C9E"/>
    <w:rsid w:val="00684173"/>
    <w:rsid w:val="006845C0"/>
    <w:rsid w:val="00684F70"/>
    <w:rsid w:val="00685386"/>
    <w:rsid w:val="00686A89"/>
    <w:rsid w:val="00687614"/>
    <w:rsid w:val="0068794F"/>
    <w:rsid w:val="00690840"/>
    <w:rsid w:val="0069151E"/>
    <w:rsid w:val="00691E5F"/>
    <w:rsid w:val="006937CD"/>
    <w:rsid w:val="0069667A"/>
    <w:rsid w:val="006972DC"/>
    <w:rsid w:val="006975B8"/>
    <w:rsid w:val="006A023F"/>
    <w:rsid w:val="006A12FE"/>
    <w:rsid w:val="006A383B"/>
    <w:rsid w:val="006A3F64"/>
    <w:rsid w:val="006A45C9"/>
    <w:rsid w:val="006A5FA8"/>
    <w:rsid w:val="006A6854"/>
    <w:rsid w:val="006A7568"/>
    <w:rsid w:val="006B04F7"/>
    <w:rsid w:val="006B1333"/>
    <w:rsid w:val="006B2372"/>
    <w:rsid w:val="006B278B"/>
    <w:rsid w:val="006B296C"/>
    <w:rsid w:val="006B726B"/>
    <w:rsid w:val="006B7AFE"/>
    <w:rsid w:val="006C00E1"/>
    <w:rsid w:val="006C1026"/>
    <w:rsid w:val="006C2ED8"/>
    <w:rsid w:val="006C4F15"/>
    <w:rsid w:val="006C51C1"/>
    <w:rsid w:val="006C654F"/>
    <w:rsid w:val="006C6BE4"/>
    <w:rsid w:val="006C7382"/>
    <w:rsid w:val="006C7A81"/>
    <w:rsid w:val="006C7F5C"/>
    <w:rsid w:val="006D0018"/>
    <w:rsid w:val="006D0B79"/>
    <w:rsid w:val="006D0D53"/>
    <w:rsid w:val="006D26D4"/>
    <w:rsid w:val="006D2E58"/>
    <w:rsid w:val="006D4CF0"/>
    <w:rsid w:val="006D6ACF"/>
    <w:rsid w:val="006D7EF2"/>
    <w:rsid w:val="006E08AB"/>
    <w:rsid w:val="006E1351"/>
    <w:rsid w:val="006E2E0D"/>
    <w:rsid w:val="006E57A9"/>
    <w:rsid w:val="006F0648"/>
    <w:rsid w:val="006F19D8"/>
    <w:rsid w:val="006F1E63"/>
    <w:rsid w:val="006F4B2E"/>
    <w:rsid w:val="006F516E"/>
    <w:rsid w:val="006F5E28"/>
    <w:rsid w:val="006F6968"/>
    <w:rsid w:val="007013D5"/>
    <w:rsid w:val="007016A2"/>
    <w:rsid w:val="007017F0"/>
    <w:rsid w:val="00703B9B"/>
    <w:rsid w:val="00703F39"/>
    <w:rsid w:val="0070412D"/>
    <w:rsid w:val="0070654E"/>
    <w:rsid w:val="00706D1F"/>
    <w:rsid w:val="0071076A"/>
    <w:rsid w:val="00710940"/>
    <w:rsid w:val="007118A3"/>
    <w:rsid w:val="00711F07"/>
    <w:rsid w:val="00716AF9"/>
    <w:rsid w:val="0072005F"/>
    <w:rsid w:val="0072029B"/>
    <w:rsid w:val="007231AB"/>
    <w:rsid w:val="00723353"/>
    <w:rsid w:val="007236A6"/>
    <w:rsid w:val="00724CC3"/>
    <w:rsid w:val="00724E07"/>
    <w:rsid w:val="00725A72"/>
    <w:rsid w:val="00726242"/>
    <w:rsid w:val="007302BB"/>
    <w:rsid w:val="0073032A"/>
    <w:rsid w:val="00731C43"/>
    <w:rsid w:val="0073242E"/>
    <w:rsid w:val="0073318D"/>
    <w:rsid w:val="0073545D"/>
    <w:rsid w:val="00735B1B"/>
    <w:rsid w:val="007372F2"/>
    <w:rsid w:val="00737C7E"/>
    <w:rsid w:val="00740335"/>
    <w:rsid w:val="007404B7"/>
    <w:rsid w:val="007426B6"/>
    <w:rsid w:val="0074504E"/>
    <w:rsid w:val="007463D2"/>
    <w:rsid w:val="00747CC4"/>
    <w:rsid w:val="00750BBC"/>
    <w:rsid w:val="00751C0B"/>
    <w:rsid w:val="007543D3"/>
    <w:rsid w:val="00754B23"/>
    <w:rsid w:val="00754BD6"/>
    <w:rsid w:val="00754D92"/>
    <w:rsid w:val="00755217"/>
    <w:rsid w:val="007554CC"/>
    <w:rsid w:val="00755B8B"/>
    <w:rsid w:val="00757F22"/>
    <w:rsid w:val="00760ECA"/>
    <w:rsid w:val="00761CDB"/>
    <w:rsid w:val="007637F6"/>
    <w:rsid w:val="007655CB"/>
    <w:rsid w:val="007660B6"/>
    <w:rsid w:val="00766BB8"/>
    <w:rsid w:val="007671BB"/>
    <w:rsid w:val="00770B3D"/>
    <w:rsid w:val="0077173C"/>
    <w:rsid w:val="00771B04"/>
    <w:rsid w:val="007746BE"/>
    <w:rsid w:val="00774739"/>
    <w:rsid w:val="00775997"/>
    <w:rsid w:val="00776222"/>
    <w:rsid w:val="00780CAA"/>
    <w:rsid w:val="007816CE"/>
    <w:rsid w:val="00781E76"/>
    <w:rsid w:val="00781E80"/>
    <w:rsid w:val="00782025"/>
    <w:rsid w:val="00782DB9"/>
    <w:rsid w:val="00784738"/>
    <w:rsid w:val="00786FB4"/>
    <w:rsid w:val="00787871"/>
    <w:rsid w:val="00787D45"/>
    <w:rsid w:val="007939B6"/>
    <w:rsid w:val="00794BB2"/>
    <w:rsid w:val="00795C50"/>
    <w:rsid w:val="00797038"/>
    <w:rsid w:val="007A0D7F"/>
    <w:rsid w:val="007A1547"/>
    <w:rsid w:val="007A3530"/>
    <w:rsid w:val="007A3D2C"/>
    <w:rsid w:val="007A558D"/>
    <w:rsid w:val="007A7387"/>
    <w:rsid w:val="007B0B39"/>
    <w:rsid w:val="007B25FF"/>
    <w:rsid w:val="007B399A"/>
    <w:rsid w:val="007B4D65"/>
    <w:rsid w:val="007B5B82"/>
    <w:rsid w:val="007B6E73"/>
    <w:rsid w:val="007B6E87"/>
    <w:rsid w:val="007B77E9"/>
    <w:rsid w:val="007B7F26"/>
    <w:rsid w:val="007C308A"/>
    <w:rsid w:val="007C4668"/>
    <w:rsid w:val="007C4778"/>
    <w:rsid w:val="007C64FF"/>
    <w:rsid w:val="007D040A"/>
    <w:rsid w:val="007D14A2"/>
    <w:rsid w:val="007D2BCC"/>
    <w:rsid w:val="007D5BCA"/>
    <w:rsid w:val="007D5D50"/>
    <w:rsid w:val="007E05D6"/>
    <w:rsid w:val="007E05FD"/>
    <w:rsid w:val="007E0A1F"/>
    <w:rsid w:val="007E5C76"/>
    <w:rsid w:val="007E67DD"/>
    <w:rsid w:val="007E6CC7"/>
    <w:rsid w:val="007E7AAD"/>
    <w:rsid w:val="007F00F7"/>
    <w:rsid w:val="007F15F3"/>
    <w:rsid w:val="007F22EC"/>
    <w:rsid w:val="007F2C2F"/>
    <w:rsid w:val="007F4478"/>
    <w:rsid w:val="007F45CF"/>
    <w:rsid w:val="007F59BD"/>
    <w:rsid w:val="007F6A1A"/>
    <w:rsid w:val="008022FD"/>
    <w:rsid w:val="00804742"/>
    <w:rsid w:val="00805DFE"/>
    <w:rsid w:val="0080650D"/>
    <w:rsid w:val="00807327"/>
    <w:rsid w:val="008119EA"/>
    <w:rsid w:val="008143A7"/>
    <w:rsid w:val="008144BA"/>
    <w:rsid w:val="00815002"/>
    <w:rsid w:val="00820270"/>
    <w:rsid w:val="00821EF3"/>
    <w:rsid w:val="0082326F"/>
    <w:rsid w:val="00823FFC"/>
    <w:rsid w:val="00824D38"/>
    <w:rsid w:val="00825F49"/>
    <w:rsid w:val="008271CF"/>
    <w:rsid w:val="00827945"/>
    <w:rsid w:val="00833113"/>
    <w:rsid w:val="00833E20"/>
    <w:rsid w:val="00836154"/>
    <w:rsid w:val="0083645C"/>
    <w:rsid w:val="00836F25"/>
    <w:rsid w:val="008418F2"/>
    <w:rsid w:val="00842661"/>
    <w:rsid w:val="00843982"/>
    <w:rsid w:val="0084564F"/>
    <w:rsid w:val="00846C70"/>
    <w:rsid w:val="00846CB6"/>
    <w:rsid w:val="00851A48"/>
    <w:rsid w:val="00851B14"/>
    <w:rsid w:val="0085304D"/>
    <w:rsid w:val="00853659"/>
    <w:rsid w:val="00853E08"/>
    <w:rsid w:val="00854B9F"/>
    <w:rsid w:val="008575AD"/>
    <w:rsid w:val="0086430A"/>
    <w:rsid w:val="00865173"/>
    <w:rsid w:val="008655D1"/>
    <w:rsid w:val="0086569C"/>
    <w:rsid w:val="00865D61"/>
    <w:rsid w:val="008708C9"/>
    <w:rsid w:val="008721EA"/>
    <w:rsid w:val="008724FF"/>
    <w:rsid w:val="008727E4"/>
    <w:rsid w:val="0087343A"/>
    <w:rsid w:val="008734A8"/>
    <w:rsid w:val="008738D8"/>
    <w:rsid w:val="00873B35"/>
    <w:rsid w:val="008757B4"/>
    <w:rsid w:val="0087598B"/>
    <w:rsid w:val="00875A55"/>
    <w:rsid w:val="0088019F"/>
    <w:rsid w:val="0088035E"/>
    <w:rsid w:val="00880384"/>
    <w:rsid w:val="00880B5A"/>
    <w:rsid w:val="00881657"/>
    <w:rsid w:val="008823B1"/>
    <w:rsid w:val="00882E00"/>
    <w:rsid w:val="008839B4"/>
    <w:rsid w:val="00885342"/>
    <w:rsid w:val="00885714"/>
    <w:rsid w:val="00885D5D"/>
    <w:rsid w:val="0088799B"/>
    <w:rsid w:val="008909F2"/>
    <w:rsid w:val="00891167"/>
    <w:rsid w:val="0089242F"/>
    <w:rsid w:val="00892AED"/>
    <w:rsid w:val="00892F68"/>
    <w:rsid w:val="00892FFE"/>
    <w:rsid w:val="0089301B"/>
    <w:rsid w:val="008935E4"/>
    <w:rsid w:val="00894076"/>
    <w:rsid w:val="00895341"/>
    <w:rsid w:val="008966DC"/>
    <w:rsid w:val="00897098"/>
    <w:rsid w:val="00897C51"/>
    <w:rsid w:val="008A09CF"/>
    <w:rsid w:val="008A2734"/>
    <w:rsid w:val="008A3F6C"/>
    <w:rsid w:val="008A4CF1"/>
    <w:rsid w:val="008A523B"/>
    <w:rsid w:val="008B0692"/>
    <w:rsid w:val="008B07C4"/>
    <w:rsid w:val="008B0912"/>
    <w:rsid w:val="008B1E88"/>
    <w:rsid w:val="008B2AE1"/>
    <w:rsid w:val="008B5922"/>
    <w:rsid w:val="008B5C86"/>
    <w:rsid w:val="008B627F"/>
    <w:rsid w:val="008B64A1"/>
    <w:rsid w:val="008B678F"/>
    <w:rsid w:val="008B6D05"/>
    <w:rsid w:val="008C12F3"/>
    <w:rsid w:val="008C1FC9"/>
    <w:rsid w:val="008C26D6"/>
    <w:rsid w:val="008C3D90"/>
    <w:rsid w:val="008C4A3C"/>
    <w:rsid w:val="008C5AEF"/>
    <w:rsid w:val="008C6371"/>
    <w:rsid w:val="008C66D4"/>
    <w:rsid w:val="008C6CE1"/>
    <w:rsid w:val="008C6FA4"/>
    <w:rsid w:val="008C713E"/>
    <w:rsid w:val="008D070E"/>
    <w:rsid w:val="008D13B4"/>
    <w:rsid w:val="008D15BF"/>
    <w:rsid w:val="008D1FD9"/>
    <w:rsid w:val="008D4350"/>
    <w:rsid w:val="008D53C2"/>
    <w:rsid w:val="008D5D27"/>
    <w:rsid w:val="008D726D"/>
    <w:rsid w:val="008D774B"/>
    <w:rsid w:val="008D7F74"/>
    <w:rsid w:val="008E03FE"/>
    <w:rsid w:val="008E05D9"/>
    <w:rsid w:val="008E0863"/>
    <w:rsid w:val="008E1047"/>
    <w:rsid w:val="008E1844"/>
    <w:rsid w:val="008E3170"/>
    <w:rsid w:val="008E37AF"/>
    <w:rsid w:val="008E5305"/>
    <w:rsid w:val="008E5886"/>
    <w:rsid w:val="008E6783"/>
    <w:rsid w:val="008E72ED"/>
    <w:rsid w:val="008F042C"/>
    <w:rsid w:val="008F11C2"/>
    <w:rsid w:val="008F2AEB"/>
    <w:rsid w:val="008F5964"/>
    <w:rsid w:val="009016EB"/>
    <w:rsid w:val="00902DE1"/>
    <w:rsid w:val="00902EAD"/>
    <w:rsid w:val="00904BC3"/>
    <w:rsid w:val="00905237"/>
    <w:rsid w:val="009108A6"/>
    <w:rsid w:val="009124F9"/>
    <w:rsid w:val="009126C8"/>
    <w:rsid w:val="00913314"/>
    <w:rsid w:val="00914F04"/>
    <w:rsid w:val="00915809"/>
    <w:rsid w:val="00916B6C"/>
    <w:rsid w:val="00916ECD"/>
    <w:rsid w:val="009201FA"/>
    <w:rsid w:val="00920915"/>
    <w:rsid w:val="00920CD4"/>
    <w:rsid w:val="00921FBA"/>
    <w:rsid w:val="009229DE"/>
    <w:rsid w:val="00923C37"/>
    <w:rsid w:val="00926B03"/>
    <w:rsid w:val="00927515"/>
    <w:rsid w:val="0093070D"/>
    <w:rsid w:val="009321FA"/>
    <w:rsid w:val="00935FFB"/>
    <w:rsid w:val="0093662C"/>
    <w:rsid w:val="00936D3C"/>
    <w:rsid w:val="0094170E"/>
    <w:rsid w:val="009422EF"/>
    <w:rsid w:val="009443A2"/>
    <w:rsid w:val="00945FF0"/>
    <w:rsid w:val="00950267"/>
    <w:rsid w:val="00950670"/>
    <w:rsid w:val="0095170B"/>
    <w:rsid w:val="00951ABF"/>
    <w:rsid w:val="00951E65"/>
    <w:rsid w:val="0095456E"/>
    <w:rsid w:val="009547CA"/>
    <w:rsid w:val="009552A4"/>
    <w:rsid w:val="00955FE8"/>
    <w:rsid w:val="009608C7"/>
    <w:rsid w:val="00961443"/>
    <w:rsid w:val="00961B20"/>
    <w:rsid w:val="00964B77"/>
    <w:rsid w:val="00964CE1"/>
    <w:rsid w:val="0096619C"/>
    <w:rsid w:val="0096719D"/>
    <w:rsid w:val="00971C52"/>
    <w:rsid w:val="00971F99"/>
    <w:rsid w:val="0097384D"/>
    <w:rsid w:val="00973AC2"/>
    <w:rsid w:val="00973EE7"/>
    <w:rsid w:val="009752F0"/>
    <w:rsid w:val="00975C4F"/>
    <w:rsid w:val="009760B3"/>
    <w:rsid w:val="009760CC"/>
    <w:rsid w:val="00980A9C"/>
    <w:rsid w:val="00981CD3"/>
    <w:rsid w:val="00981FBF"/>
    <w:rsid w:val="0098299E"/>
    <w:rsid w:val="00983111"/>
    <w:rsid w:val="009831A4"/>
    <w:rsid w:val="00983300"/>
    <w:rsid w:val="00983DE6"/>
    <w:rsid w:val="00984943"/>
    <w:rsid w:val="00984D06"/>
    <w:rsid w:val="009866A4"/>
    <w:rsid w:val="009867C3"/>
    <w:rsid w:val="00986FFC"/>
    <w:rsid w:val="009900E1"/>
    <w:rsid w:val="0099048B"/>
    <w:rsid w:val="009915BA"/>
    <w:rsid w:val="009939C1"/>
    <w:rsid w:val="00993FE9"/>
    <w:rsid w:val="009942F7"/>
    <w:rsid w:val="009945FF"/>
    <w:rsid w:val="00994E1E"/>
    <w:rsid w:val="009954AB"/>
    <w:rsid w:val="009961CC"/>
    <w:rsid w:val="00996840"/>
    <w:rsid w:val="009A092F"/>
    <w:rsid w:val="009A0F09"/>
    <w:rsid w:val="009A16DF"/>
    <w:rsid w:val="009A3D9A"/>
    <w:rsid w:val="009A730C"/>
    <w:rsid w:val="009B0336"/>
    <w:rsid w:val="009B18F9"/>
    <w:rsid w:val="009B3450"/>
    <w:rsid w:val="009B4A4B"/>
    <w:rsid w:val="009B6007"/>
    <w:rsid w:val="009C0E76"/>
    <w:rsid w:val="009C1241"/>
    <w:rsid w:val="009C5972"/>
    <w:rsid w:val="009C7CEC"/>
    <w:rsid w:val="009D03E5"/>
    <w:rsid w:val="009D0657"/>
    <w:rsid w:val="009D06C4"/>
    <w:rsid w:val="009D116D"/>
    <w:rsid w:val="009D1C92"/>
    <w:rsid w:val="009D2C2A"/>
    <w:rsid w:val="009D37E6"/>
    <w:rsid w:val="009D4E28"/>
    <w:rsid w:val="009D564F"/>
    <w:rsid w:val="009D60C1"/>
    <w:rsid w:val="009D74D3"/>
    <w:rsid w:val="009E1423"/>
    <w:rsid w:val="009E1F00"/>
    <w:rsid w:val="009E4792"/>
    <w:rsid w:val="009E4A3C"/>
    <w:rsid w:val="009E4B06"/>
    <w:rsid w:val="009E7AA8"/>
    <w:rsid w:val="009E7BAA"/>
    <w:rsid w:val="009F1B26"/>
    <w:rsid w:val="009F32C2"/>
    <w:rsid w:val="009F486C"/>
    <w:rsid w:val="009F524A"/>
    <w:rsid w:val="009F77B6"/>
    <w:rsid w:val="00A007A1"/>
    <w:rsid w:val="00A036AA"/>
    <w:rsid w:val="00A03FB8"/>
    <w:rsid w:val="00A04693"/>
    <w:rsid w:val="00A04861"/>
    <w:rsid w:val="00A04C78"/>
    <w:rsid w:val="00A057FB"/>
    <w:rsid w:val="00A05B38"/>
    <w:rsid w:val="00A12AF9"/>
    <w:rsid w:val="00A138A5"/>
    <w:rsid w:val="00A13DDD"/>
    <w:rsid w:val="00A14B7F"/>
    <w:rsid w:val="00A161EB"/>
    <w:rsid w:val="00A164FC"/>
    <w:rsid w:val="00A17466"/>
    <w:rsid w:val="00A17858"/>
    <w:rsid w:val="00A20308"/>
    <w:rsid w:val="00A21B69"/>
    <w:rsid w:val="00A22865"/>
    <w:rsid w:val="00A23C94"/>
    <w:rsid w:val="00A23DD1"/>
    <w:rsid w:val="00A30556"/>
    <w:rsid w:val="00A3071D"/>
    <w:rsid w:val="00A313FD"/>
    <w:rsid w:val="00A32A39"/>
    <w:rsid w:val="00A32A91"/>
    <w:rsid w:val="00A3476E"/>
    <w:rsid w:val="00A35D44"/>
    <w:rsid w:val="00A372BC"/>
    <w:rsid w:val="00A41749"/>
    <w:rsid w:val="00A41F81"/>
    <w:rsid w:val="00A47468"/>
    <w:rsid w:val="00A50B25"/>
    <w:rsid w:val="00A51F78"/>
    <w:rsid w:val="00A52D9B"/>
    <w:rsid w:val="00A53B03"/>
    <w:rsid w:val="00A56274"/>
    <w:rsid w:val="00A56704"/>
    <w:rsid w:val="00A5703F"/>
    <w:rsid w:val="00A6047C"/>
    <w:rsid w:val="00A61119"/>
    <w:rsid w:val="00A6196C"/>
    <w:rsid w:val="00A62E85"/>
    <w:rsid w:val="00A642FF"/>
    <w:rsid w:val="00A659DB"/>
    <w:rsid w:val="00A6692B"/>
    <w:rsid w:val="00A7213A"/>
    <w:rsid w:val="00A721C0"/>
    <w:rsid w:val="00A72415"/>
    <w:rsid w:val="00A72BF4"/>
    <w:rsid w:val="00A754EE"/>
    <w:rsid w:val="00A756E6"/>
    <w:rsid w:val="00A76B76"/>
    <w:rsid w:val="00A77725"/>
    <w:rsid w:val="00A819C0"/>
    <w:rsid w:val="00A826CA"/>
    <w:rsid w:val="00A829B7"/>
    <w:rsid w:val="00A851E6"/>
    <w:rsid w:val="00A865F0"/>
    <w:rsid w:val="00A8741C"/>
    <w:rsid w:val="00A9056B"/>
    <w:rsid w:val="00A908CC"/>
    <w:rsid w:val="00A94D03"/>
    <w:rsid w:val="00A961BA"/>
    <w:rsid w:val="00A970C8"/>
    <w:rsid w:val="00AA0ECB"/>
    <w:rsid w:val="00AA1ABD"/>
    <w:rsid w:val="00AA2534"/>
    <w:rsid w:val="00AA25E7"/>
    <w:rsid w:val="00AA4E12"/>
    <w:rsid w:val="00AA4EF2"/>
    <w:rsid w:val="00AA6831"/>
    <w:rsid w:val="00AA6ED3"/>
    <w:rsid w:val="00AA7462"/>
    <w:rsid w:val="00AB01E8"/>
    <w:rsid w:val="00AB0602"/>
    <w:rsid w:val="00AB4875"/>
    <w:rsid w:val="00AC0D08"/>
    <w:rsid w:val="00AC2D47"/>
    <w:rsid w:val="00AC3192"/>
    <w:rsid w:val="00AC377A"/>
    <w:rsid w:val="00AC7981"/>
    <w:rsid w:val="00AC7A72"/>
    <w:rsid w:val="00AD1456"/>
    <w:rsid w:val="00AD162B"/>
    <w:rsid w:val="00AD1779"/>
    <w:rsid w:val="00AD2D23"/>
    <w:rsid w:val="00AD4364"/>
    <w:rsid w:val="00AD714D"/>
    <w:rsid w:val="00AE1703"/>
    <w:rsid w:val="00AE1BCD"/>
    <w:rsid w:val="00AE2B0B"/>
    <w:rsid w:val="00AE2D4B"/>
    <w:rsid w:val="00AE4CB1"/>
    <w:rsid w:val="00AE5C30"/>
    <w:rsid w:val="00AE5DA6"/>
    <w:rsid w:val="00AE7A0E"/>
    <w:rsid w:val="00AF0414"/>
    <w:rsid w:val="00AF0724"/>
    <w:rsid w:val="00AF396A"/>
    <w:rsid w:val="00AF42BE"/>
    <w:rsid w:val="00AF467B"/>
    <w:rsid w:val="00AF7549"/>
    <w:rsid w:val="00AF781C"/>
    <w:rsid w:val="00B0155C"/>
    <w:rsid w:val="00B020C4"/>
    <w:rsid w:val="00B066EC"/>
    <w:rsid w:val="00B06D70"/>
    <w:rsid w:val="00B07F25"/>
    <w:rsid w:val="00B11637"/>
    <w:rsid w:val="00B1379F"/>
    <w:rsid w:val="00B14B62"/>
    <w:rsid w:val="00B16D9A"/>
    <w:rsid w:val="00B17412"/>
    <w:rsid w:val="00B17949"/>
    <w:rsid w:val="00B20512"/>
    <w:rsid w:val="00B219CA"/>
    <w:rsid w:val="00B21E27"/>
    <w:rsid w:val="00B22D08"/>
    <w:rsid w:val="00B232BF"/>
    <w:rsid w:val="00B233AA"/>
    <w:rsid w:val="00B23B5F"/>
    <w:rsid w:val="00B24038"/>
    <w:rsid w:val="00B24745"/>
    <w:rsid w:val="00B25715"/>
    <w:rsid w:val="00B302E5"/>
    <w:rsid w:val="00B303A8"/>
    <w:rsid w:val="00B30BA8"/>
    <w:rsid w:val="00B31749"/>
    <w:rsid w:val="00B31BF5"/>
    <w:rsid w:val="00B32111"/>
    <w:rsid w:val="00B321BD"/>
    <w:rsid w:val="00B325BA"/>
    <w:rsid w:val="00B328EC"/>
    <w:rsid w:val="00B33DDF"/>
    <w:rsid w:val="00B36DC0"/>
    <w:rsid w:val="00B37D6D"/>
    <w:rsid w:val="00B41D58"/>
    <w:rsid w:val="00B424F7"/>
    <w:rsid w:val="00B43329"/>
    <w:rsid w:val="00B44CA8"/>
    <w:rsid w:val="00B45BE8"/>
    <w:rsid w:val="00B51A7E"/>
    <w:rsid w:val="00B52AD5"/>
    <w:rsid w:val="00B54A83"/>
    <w:rsid w:val="00B56C5D"/>
    <w:rsid w:val="00B57F66"/>
    <w:rsid w:val="00B604DD"/>
    <w:rsid w:val="00B617A7"/>
    <w:rsid w:val="00B619B1"/>
    <w:rsid w:val="00B62035"/>
    <w:rsid w:val="00B62E50"/>
    <w:rsid w:val="00B63967"/>
    <w:rsid w:val="00B640D5"/>
    <w:rsid w:val="00B66567"/>
    <w:rsid w:val="00B67C0B"/>
    <w:rsid w:val="00B71D95"/>
    <w:rsid w:val="00B72351"/>
    <w:rsid w:val="00B73BAA"/>
    <w:rsid w:val="00B75203"/>
    <w:rsid w:val="00B75888"/>
    <w:rsid w:val="00B758D5"/>
    <w:rsid w:val="00B8120D"/>
    <w:rsid w:val="00B81899"/>
    <w:rsid w:val="00B81D13"/>
    <w:rsid w:val="00B825DD"/>
    <w:rsid w:val="00B84391"/>
    <w:rsid w:val="00B85E57"/>
    <w:rsid w:val="00B8709B"/>
    <w:rsid w:val="00B90666"/>
    <w:rsid w:val="00B90A58"/>
    <w:rsid w:val="00B91B40"/>
    <w:rsid w:val="00B91D45"/>
    <w:rsid w:val="00B91EF6"/>
    <w:rsid w:val="00B927E3"/>
    <w:rsid w:val="00B97A75"/>
    <w:rsid w:val="00BA02C6"/>
    <w:rsid w:val="00BA192F"/>
    <w:rsid w:val="00BA1969"/>
    <w:rsid w:val="00BA1C0E"/>
    <w:rsid w:val="00BA2132"/>
    <w:rsid w:val="00BA3B61"/>
    <w:rsid w:val="00BA485B"/>
    <w:rsid w:val="00BA6C12"/>
    <w:rsid w:val="00BA6ED5"/>
    <w:rsid w:val="00BA7299"/>
    <w:rsid w:val="00BB0574"/>
    <w:rsid w:val="00BB0F2C"/>
    <w:rsid w:val="00BB2398"/>
    <w:rsid w:val="00BB4D32"/>
    <w:rsid w:val="00BB630C"/>
    <w:rsid w:val="00BB6FE2"/>
    <w:rsid w:val="00BC158C"/>
    <w:rsid w:val="00BC2E2F"/>
    <w:rsid w:val="00BC3811"/>
    <w:rsid w:val="00BC6C07"/>
    <w:rsid w:val="00BC6DD2"/>
    <w:rsid w:val="00BC7101"/>
    <w:rsid w:val="00BC757C"/>
    <w:rsid w:val="00BD0165"/>
    <w:rsid w:val="00BD25BA"/>
    <w:rsid w:val="00BD2FB1"/>
    <w:rsid w:val="00BD4820"/>
    <w:rsid w:val="00BD49F3"/>
    <w:rsid w:val="00BD69DD"/>
    <w:rsid w:val="00BE260F"/>
    <w:rsid w:val="00BE3DCB"/>
    <w:rsid w:val="00BE41D7"/>
    <w:rsid w:val="00BE4B85"/>
    <w:rsid w:val="00BE5E37"/>
    <w:rsid w:val="00BE5EB8"/>
    <w:rsid w:val="00BF042C"/>
    <w:rsid w:val="00BF0571"/>
    <w:rsid w:val="00BF0834"/>
    <w:rsid w:val="00BF0F01"/>
    <w:rsid w:val="00BF1ECF"/>
    <w:rsid w:val="00BF22FF"/>
    <w:rsid w:val="00BF2798"/>
    <w:rsid w:val="00BF37C8"/>
    <w:rsid w:val="00BF6720"/>
    <w:rsid w:val="00C02269"/>
    <w:rsid w:val="00C02BC8"/>
    <w:rsid w:val="00C02CFD"/>
    <w:rsid w:val="00C03ACF"/>
    <w:rsid w:val="00C04C88"/>
    <w:rsid w:val="00C0541C"/>
    <w:rsid w:val="00C05A2F"/>
    <w:rsid w:val="00C07F2F"/>
    <w:rsid w:val="00C115C4"/>
    <w:rsid w:val="00C122DC"/>
    <w:rsid w:val="00C1244D"/>
    <w:rsid w:val="00C12B9B"/>
    <w:rsid w:val="00C12D6F"/>
    <w:rsid w:val="00C13D9D"/>
    <w:rsid w:val="00C169C1"/>
    <w:rsid w:val="00C175DF"/>
    <w:rsid w:val="00C17F5A"/>
    <w:rsid w:val="00C21098"/>
    <w:rsid w:val="00C243DD"/>
    <w:rsid w:val="00C24748"/>
    <w:rsid w:val="00C24B55"/>
    <w:rsid w:val="00C2501E"/>
    <w:rsid w:val="00C276F3"/>
    <w:rsid w:val="00C306F8"/>
    <w:rsid w:val="00C31214"/>
    <w:rsid w:val="00C31379"/>
    <w:rsid w:val="00C31FDC"/>
    <w:rsid w:val="00C33E6A"/>
    <w:rsid w:val="00C340F5"/>
    <w:rsid w:val="00C34ABF"/>
    <w:rsid w:val="00C34B02"/>
    <w:rsid w:val="00C35402"/>
    <w:rsid w:val="00C35FD3"/>
    <w:rsid w:val="00C4017F"/>
    <w:rsid w:val="00C4128C"/>
    <w:rsid w:val="00C41ABE"/>
    <w:rsid w:val="00C4210A"/>
    <w:rsid w:val="00C42116"/>
    <w:rsid w:val="00C43A88"/>
    <w:rsid w:val="00C460C0"/>
    <w:rsid w:val="00C51492"/>
    <w:rsid w:val="00C5622A"/>
    <w:rsid w:val="00C564A4"/>
    <w:rsid w:val="00C56DFE"/>
    <w:rsid w:val="00C57F9F"/>
    <w:rsid w:val="00C60253"/>
    <w:rsid w:val="00C608C0"/>
    <w:rsid w:val="00C632E4"/>
    <w:rsid w:val="00C63788"/>
    <w:rsid w:val="00C63A54"/>
    <w:rsid w:val="00C65A5F"/>
    <w:rsid w:val="00C66E80"/>
    <w:rsid w:val="00C678DE"/>
    <w:rsid w:val="00C71518"/>
    <w:rsid w:val="00C7203A"/>
    <w:rsid w:val="00C73668"/>
    <w:rsid w:val="00C7456C"/>
    <w:rsid w:val="00C75641"/>
    <w:rsid w:val="00C800B5"/>
    <w:rsid w:val="00C81D7A"/>
    <w:rsid w:val="00C82830"/>
    <w:rsid w:val="00C828BD"/>
    <w:rsid w:val="00C8413F"/>
    <w:rsid w:val="00C853BE"/>
    <w:rsid w:val="00C85513"/>
    <w:rsid w:val="00C85FD0"/>
    <w:rsid w:val="00C861F2"/>
    <w:rsid w:val="00C86642"/>
    <w:rsid w:val="00C867CE"/>
    <w:rsid w:val="00C86887"/>
    <w:rsid w:val="00C86D36"/>
    <w:rsid w:val="00C87FE4"/>
    <w:rsid w:val="00C9025E"/>
    <w:rsid w:val="00C90EB5"/>
    <w:rsid w:val="00C90EE1"/>
    <w:rsid w:val="00C919FC"/>
    <w:rsid w:val="00C92D4F"/>
    <w:rsid w:val="00C94D59"/>
    <w:rsid w:val="00C95C86"/>
    <w:rsid w:val="00C95FD1"/>
    <w:rsid w:val="00C96290"/>
    <w:rsid w:val="00CA12AF"/>
    <w:rsid w:val="00CA18DA"/>
    <w:rsid w:val="00CA1D1F"/>
    <w:rsid w:val="00CA22FA"/>
    <w:rsid w:val="00CA2C9D"/>
    <w:rsid w:val="00CA3D2D"/>
    <w:rsid w:val="00CA40BD"/>
    <w:rsid w:val="00CA4B5D"/>
    <w:rsid w:val="00CA5F66"/>
    <w:rsid w:val="00CA5FD4"/>
    <w:rsid w:val="00CA61D2"/>
    <w:rsid w:val="00CA7DCE"/>
    <w:rsid w:val="00CB0E45"/>
    <w:rsid w:val="00CB3D3F"/>
    <w:rsid w:val="00CB5871"/>
    <w:rsid w:val="00CB5F12"/>
    <w:rsid w:val="00CC06DF"/>
    <w:rsid w:val="00CC1286"/>
    <w:rsid w:val="00CC1E02"/>
    <w:rsid w:val="00CC3740"/>
    <w:rsid w:val="00CC3778"/>
    <w:rsid w:val="00CC551E"/>
    <w:rsid w:val="00CC5906"/>
    <w:rsid w:val="00CC59C2"/>
    <w:rsid w:val="00CC73F1"/>
    <w:rsid w:val="00CC7B4F"/>
    <w:rsid w:val="00CD18D4"/>
    <w:rsid w:val="00CD20E9"/>
    <w:rsid w:val="00CD2854"/>
    <w:rsid w:val="00CD3C20"/>
    <w:rsid w:val="00CD3F5F"/>
    <w:rsid w:val="00CD47E8"/>
    <w:rsid w:val="00CD4BC7"/>
    <w:rsid w:val="00CD6F3E"/>
    <w:rsid w:val="00CD7649"/>
    <w:rsid w:val="00CD7715"/>
    <w:rsid w:val="00CE2CC1"/>
    <w:rsid w:val="00CE4B6F"/>
    <w:rsid w:val="00CE5C52"/>
    <w:rsid w:val="00CE67CE"/>
    <w:rsid w:val="00CF08DE"/>
    <w:rsid w:val="00CF1771"/>
    <w:rsid w:val="00CF318F"/>
    <w:rsid w:val="00D00369"/>
    <w:rsid w:val="00D008A5"/>
    <w:rsid w:val="00D0162F"/>
    <w:rsid w:val="00D03BA1"/>
    <w:rsid w:val="00D0450C"/>
    <w:rsid w:val="00D04966"/>
    <w:rsid w:val="00D05E37"/>
    <w:rsid w:val="00D061ED"/>
    <w:rsid w:val="00D06E3F"/>
    <w:rsid w:val="00D07F87"/>
    <w:rsid w:val="00D13FD9"/>
    <w:rsid w:val="00D147F3"/>
    <w:rsid w:val="00D17E40"/>
    <w:rsid w:val="00D20F14"/>
    <w:rsid w:val="00D210D7"/>
    <w:rsid w:val="00D211AB"/>
    <w:rsid w:val="00D21292"/>
    <w:rsid w:val="00D22150"/>
    <w:rsid w:val="00D2245D"/>
    <w:rsid w:val="00D24446"/>
    <w:rsid w:val="00D2567F"/>
    <w:rsid w:val="00D27876"/>
    <w:rsid w:val="00D27B3D"/>
    <w:rsid w:val="00D30190"/>
    <w:rsid w:val="00D30A37"/>
    <w:rsid w:val="00D30E15"/>
    <w:rsid w:val="00D31507"/>
    <w:rsid w:val="00D31791"/>
    <w:rsid w:val="00D323DD"/>
    <w:rsid w:val="00D34205"/>
    <w:rsid w:val="00D34518"/>
    <w:rsid w:val="00D34E97"/>
    <w:rsid w:val="00D35774"/>
    <w:rsid w:val="00D36CD1"/>
    <w:rsid w:val="00D37816"/>
    <w:rsid w:val="00D4049B"/>
    <w:rsid w:val="00D42B83"/>
    <w:rsid w:val="00D431D9"/>
    <w:rsid w:val="00D43E8B"/>
    <w:rsid w:val="00D44F00"/>
    <w:rsid w:val="00D4584F"/>
    <w:rsid w:val="00D469EF"/>
    <w:rsid w:val="00D47A19"/>
    <w:rsid w:val="00D50D33"/>
    <w:rsid w:val="00D52E05"/>
    <w:rsid w:val="00D53E14"/>
    <w:rsid w:val="00D5496D"/>
    <w:rsid w:val="00D5515E"/>
    <w:rsid w:val="00D561BB"/>
    <w:rsid w:val="00D567DC"/>
    <w:rsid w:val="00D57011"/>
    <w:rsid w:val="00D571FD"/>
    <w:rsid w:val="00D574F2"/>
    <w:rsid w:val="00D6018C"/>
    <w:rsid w:val="00D619DA"/>
    <w:rsid w:val="00D63F77"/>
    <w:rsid w:val="00D6450A"/>
    <w:rsid w:val="00D64FB4"/>
    <w:rsid w:val="00D65015"/>
    <w:rsid w:val="00D668F9"/>
    <w:rsid w:val="00D70097"/>
    <w:rsid w:val="00D7025F"/>
    <w:rsid w:val="00D703C1"/>
    <w:rsid w:val="00D7056D"/>
    <w:rsid w:val="00D7093C"/>
    <w:rsid w:val="00D72501"/>
    <w:rsid w:val="00D72EEF"/>
    <w:rsid w:val="00D73E8E"/>
    <w:rsid w:val="00D7644F"/>
    <w:rsid w:val="00D76760"/>
    <w:rsid w:val="00D77892"/>
    <w:rsid w:val="00D77A3A"/>
    <w:rsid w:val="00D80518"/>
    <w:rsid w:val="00D80BF0"/>
    <w:rsid w:val="00D80E3A"/>
    <w:rsid w:val="00D8122C"/>
    <w:rsid w:val="00D818F5"/>
    <w:rsid w:val="00D82926"/>
    <w:rsid w:val="00D84118"/>
    <w:rsid w:val="00D85398"/>
    <w:rsid w:val="00D8649B"/>
    <w:rsid w:val="00D90C30"/>
    <w:rsid w:val="00D90C9B"/>
    <w:rsid w:val="00D912F8"/>
    <w:rsid w:val="00D92A5E"/>
    <w:rsid w:val="00D92DAB"/>
    <w:rsid w:val="00D9302F"/>
    <w:rsid w:val="00D944CC"/>
    <w:rsid w:val="00D95656"/>
    <w:rsid w:val="00D96B05"/>
    <w:rsid w:val="00DA00B2"/>
    <w:rsid w:val="00DA428D"/>
    <w:rsid w:val="00DA4910"/>
    <w:rsid w:val="00DA5AA4"/>
    <w:rsid w:val="00DA7FA5"/>
    <w:rsid w:val="00DB2FA1"/>
    <w:rsid w:val="00DB3210"/>
    <w:rsid w:val="00DB6CDE"/>
    <w:rsid w:val="00DB72F4"/>
    <w:rsid w:val="00DC0B41"/>
    <w:rsid w:val="00DC13A3"/>
    <w:rsid w:val="00DC15B3"/>
    <w:rsid w:val="00DC21E5"/>
    <w:rsid w:val="00DC4E49"/>
    <w:rsid w:val="00DC5075"/>
    <w:rsid w:val="00DC6569"/>
    <w:rsid w:val="00DC7C13"/>
    <w:rsid w:val="00DC7E88"/>
    <w:rsid w:val="00DD042F"/>
    <w:rsid w:val="00DD0BA2"/>
    <w:rsid w:val="00DD1A13"/>
    <w:rsid w:val="00DD4BEF"/>
    <w:rsid w:val="00DD5296"/>
    <w:rsid w:val="00DD60EF"/>
    <w:rsid w:val="00DE02FF"/>
    <w:rsid w:val="00DE1C22"/>
    <w:rsid w:val="00DE53B9"/>
    <w:rsid w:val="00DE5D32"/>
    <w:rsid w:val="00DE68A1"/>
    <w:rsid w:val="00DF134B"/>
    <w:rsid w:val="00DF14F8"/>
    <w:rsid w:val="00DF2216"/>
    <w:rsid w:val="00DF2AC5"/>
    <w:rsid w:val="00DF6DF6"/>
    <w:rsid w:val="00DF7C6D"/>
    <w:rsid w:val="00E007C8"/>
    <w:rsid w:val="00E01331"/>
    <w:rsid w:val="00E01875"/>
    <w:rsid w:val="00E01899"/>
    <w:rsid w:val="00E01BB7"/>
    <w:rsid w:val="00E01E3D"/>
    <w:rsid w:val="00E026C1"/>
    <w:rsid w:val="00E02EF8"/>
    <w:rsid w:val="00E039A9"/>
    <w:rsid w:val="00E05B49"/>
    <w:rsid w:val="00E05DAD"/>
    <w:rsid w:val="00E0701D"/>
    <w:rsid w:val="00E07797"/>
    <w:rsid w:val="00E10AE3"/>
    <w:rsid w:val="00E10E9E"/>
    <w:rsid w:val="00E11655"/>
    <w:rsid w:val="00E17500"/>
    <w:rsid w:val="00E17EA5"/>
    <w:rsid w:val="00E2070D"/>
    <w:rsid w:val="00E21C87"/>
    <w:rsid w:val="00E2224B"/>
    <w:rsid w:val="00E2435D"/>
    <w:rsid w:val="00E27E56"/>
    <w:rsid w:val="00E3090A"/>
    <w:rsid w:val="00E3168F"/>
    <w:rsid w:val="00E31E9C"/>
    <w:rsid w:val="00E32519"/>
    <w:rsid w:val="00E348F5"/>
    <w:rsid w:val="00E34DE2"/>
    <w:rsid w:val="00E36F40"/>
    <w:rsid w:val="00E37855"/>
    <w:rsid w:val="00E40AC9"/>
    <w:rsid w:val="00E40EC6"/>
    <w:rsid w:val="00E417F4"/>
    <w:rsid w:val="00E44F29"/>
    <w:rsid w:val="00E461E5"/>
    <w:rsid w:val="00E461EF"/>
    <w:rsid w:val="00E46A9F"/>
    <w:rsid w:val="00E47829"/>
    <w:rsid w:val="00E47976"/>
    <w:rsid w:val="00E52803"/>
    <w:rsid w:val="00E54EB4"/>
    <w:rsid w:val="00E556B6"/>
    <w:rsid w:val="00E56432"/>
    <w:rsid w:val="00E60F9F"/>
    <w:rsid w:val="00E63223"/>
    <w:rsid w:val="00E640BE"/>
    <w:rsid w:val="00E64797"/>
    <w:rsid w:val="00E65185"/>
    <w:rsid w:val="00E662B1"/>
    <w:rsid w:val="00E6656D"/>
    <w:rsid w:val="00E66AE8"/>
    <w:rsid w:val="00E7062A"/>
    <w:rsid w:val="00E70747"/>
    <w:rsid w:val="00E70C2F"/>
    <w:rsid w:val="00E71551"/>
    <w:rsid w:val="00E7170F"/>
    <w:rsid w:val="00E718C3"/>
    <w:rsid w:val="00E71AAE"/>
    <w:rsid w:val="00E71F1C"/>
    <w:rsid w:val="00E748CD"/>
    <w:rsid w:val="00E7594C"/>
    <w:rsid w:val="00E759E8"/>
    <w:rsid w:val="00E75E88"/>
    <w:rsid w:val="00E80324"/>
    <w:rsid w:val="00E82D04"/>
    <w:rsid w:val="00E83780"/>
    <w:rsid w:val="00E8468D"/>
    <w:rsid w:val="00E854E9"/>
    <w:rsid w:val="00E86332"/>
    <w:rsid w:val="00E86C74"/>
    <w:rsid w:val="00E874F0"/>
    <w:rsid w:val="00E9036A"/>
    <w:rsid w:val="00E90FF7"/>
    <w:rsid w:val="00E915B3"/>
    <w:rsid w:val="00E93459"/>
    <w:rsid w:val="00E9499C"/>
    <w:rsid w:val="00E95647"/>
    <w:rsid w:val="00E96AFE"/>
    <w:rsid w:val="00E9774E"/>
    <w:rsid w:val="00E97B7F"/>
    <w:rsid w:val="00EA0B51"/>
    <w:rsid w:val="00EA0FF6"/>
    <w:rsid w:val="00EA1FA0"/>
    <w:rsid w:val="00EA466C"/>
    <w:rsid w:val="00EA4A04"/>
    <w:rsid w:val="00EA4EC2"/>
    <w:rsid w:val="00EA5161"/>
    <w:rsid w:val="00EA64A7"/>
    <w:rsid w:val="00EB22A9"/>
    <w:rsid w:val="00EB2FC2"/>
    <w:rsid w:val="00EB4F6F"/>
    <w:rsid w:val="00EB5964"/>
    <w:rsid w:val="00EB59DD"/>
    <w:rsid w:val="00EB751B"/>
    <w:rsid w:val="00EC04FB"/>
    <w:rsid w:val="00EC1945"/>
    <w:rsid w:val="00EC35AF"/>
    <w:rsid w:val="00EC4442"/>
    <w:rsid w:val="00EC483F"/>
    <w:rsid w:val="00EC4D9B"/>
    <w:rsid w:val="00EC668F"/>
    <w:rsid w:val="00EC6F3F"/>
    <w:rsid w:val="00EC7398"/>
    <w:rsid w:val="00EC79ED"/>
    <w:rsid w:val="00ED0173"/>
    <w:rsid w:val="00ED057A"/>
    <w:rsid w:val="00ED08F1"/>
    <w:rsid w:val="00ED1E51"/>
    <w:rsid w:val="00ED36F4"/>
    <w:rsid w:val="00ED4C98"/>
    <w:rsid w:val="00ED566D"/>
    <w:rsid w:val="00ED5B97"/>
    <w:rsid w:val="00ED5DB5"/>
    <w:rsid w:val="00ED757B"/>
    <w:rsid w:val="00EE01AA"/>
    <w:rsid w:val="00EE0419"/>
    <w:rsid w:val="00EE1CE7"/>
    <w:rsid w:val="00EE2AD5"/>
    <w:rsid w:val="00EE2C0B"/>
    <w:rsid w:val="00EE472C"/>
    <w:rsid w:val="00EE4CC9"/>
    <w:rsid w:val="00EE686D"/>
    <w:rsid w:val="00EE7C5F"/>
    <w:rsid w:val="00EE7D95"/>
    <w:rsid w:val="00EF0E77"/>
    <w:rsid w:val="00EF25BC"/>
    <w:rsid w:val="00EF2E9B"/>
    <w:rsid w:val="00EF3751"/>
    <w:rsid w:val="00EF3926"/>
    <w:rsid w:val="00EF510A"/>
    <w:rsid w:val="00EF6E0A"/>
    <w:rsid w:val="00F0062E"/>
    <w:rsid w:val="00F00D0D"/>
    <w:rsid w:val="00F03B71"/>
    <w:rsid w:val="00F03CA7"/>
    <w:rsid w:val="00F05484"/>
    <w:rsid w:val="00F05E51"/>
    <w:rsid w:val="00F06419"/>
    <w:rsid w:val="00F0664C"/>
    <w:rsid w:val="00F06FAB"/>
    <w:rsid w:val="00F07126"/>
    <w:rsid w:val="00F10211"/>
    <w:rsid w:val="00F1055C"/>
    <w:rsid w:val="00F11004"/>
    <w:rsid w:val="00F12480"/>
    <w:rsid w:val="00F12951"/>
    <w:rsid w:val="00F1299B"/>
    <w:rsid w:val="00F12A08"/>
    <w:rsid w:val="00F13429"/>
    <w:rsid w:val="00F14341"/>
    <w:rsid w:val="00F1443A"/>
    <w:rsid w:val="00F15F31"/>
    <w:rsid w:val="00F1633F"/>
    <w:rsid w:val="00F20764"/>
    <w:rsid w:val="00F20BB6"/>
    <w:rsid w:val="00F21BEE"/>
    <w:rsid w:val="00F22EB0"/>
    <w:rsid w:val="00F2381E"/>
    <w:rsid w:val="00F23C2E"/>
    <w:rsid w:val="00F261F9"/>
    <w:rsid w:val="00F2656C"/>
    <w:rsid w:val="00F26AD5"/>
    <w:rsid w:val="00F26E5B"/>
    <w:rsid w:val="00F27B6A"/>
    <w:rsid w:val="00F30475"/>
    <w:rsid w:val="00F32100"/>
    <w:rsid w:val="00F33496"/>
    <w:rsid w:val="00F33509"/>
    <w:rsid w:val="00F34722"/>
    <w:rsid w:val="00F3508C"/>
    <w:rsid w:val="00F37073"/>
    <w:rsid w:val="00F378E4"/>
    <w:rsid w:val="00F405BC"/>
    <w:rsid w:val="00F40A1A"/>
    <w:rsid w:val="00F43FE2"/>
    <w:rsid w:val="00F456AB"/>
    <w:rsid w:val="00F45E36"/>
    <w:rsid w:val="00F475DD"/>
    <w:rsid w:val="00F47895"/>
    <w:rsid w:val="00F47A34"/>
    <w:rsid w:val="00F47AA0"/>
    <w:rsid w:val="00F501DE"/>
    <w:rsid w:val="00F50E62"/>
    <w:rsid w:val="00F50EC1"/>
    <w:rsid w:val="00F51D7C"/>
    <w:rsid w:val="00F51E37"/>
    <w:rsid w:val="00F524CC"/>
    <w:rsid w:val="00F5272F"/>
    <w:rsid w:val="00F52ADB"/>
    <w:rsid w:val="00F53991"/>
    <w:rsid w:val="00F548B6"/>
    <w:rsid w:val="00F55264"/>
    <w:rsid w:val="00F626C3"/>
    <w:rsid w:val="00F62914"/>
    <w:rsid w:val="00F64AC6"/>
    <w:rsid w:val="00F655E9"/>
    <w:rsid w:val="00F65F54"/>
    <w:rsid w:val="00F6617C"/>
    <w:rsid w:val="00F66303"/>
    <w:rsid w:val="00F6649F"/>
    <w:rsid w:val="00F66AD6"/>
    <w:rsid w:val="00F71157"/>
    <w:rsid w:val="00F738BC"/>
    <w:rsid w:val="00F73E86"/>
    <w:rsid w:val="00F75F4B"/>
    <w:rsid w:val="00F76D71"/>
    <w:rsid w:val="00F808D6"/>
    <w:rsid w:val="00F82193"/>
    <w:rsid w:val="00F83646"/>
    <w:rsid w:val="00F83753"/>
    <w:rsid w:val="00F8408C"/>
    <w:rsid w:val="00F843E1"/>
    <w:rsid w:val="00F845F9"/>
    <w:rsid w:val="00F847F9"/>
    <w:rsid w:val="00F85D94"/>
    <w:rsid w:val="00F86506"/>
    <w:rsid w:val="00F869DB"/>
    <w:rsid w:val="00F86A3E"/>
    <w:rsid w:val="00F905EA"/>
    <w:rsid w:val="00F90653"/>
    <w:rsid w:val="00F90DF1"/>
    <w:rsid w:val="00F9184F"/>
    <w:rsid w:val="00F91E28"/>
    <w:rsid w:val="00F92ABB"/>
    <w:rsid w:val="00F93A9F"/>
    <w:rsid w:val="00F941E7"/>
    <w:rsid w:val="00F95565"/>
    <w:rsid w:val="00F95832"/>
    <w:rsid w:val="00F95C2E"/>
    <w:rsid w:val="00F961E0"/>
    <w:rsid w:val="00FA16E7"/>
    <w:rsid w:val="00FA2706"/>
    <w:rsid w:val="00FA3D96"/>
    <w:rsid w:val="00FA423D"/>
    <w:rsid w:val="00FA4B4E"/>
    <w:rsid w:val="00FA538D"/>
    <w:rsid w:val="00FB149E"/>
    <w:rsid w:val="00FB18D7"/>
    <w:rsid w:val="00FB2022"/>
    <w:rsid w:val="00FB47B9"/>
    <w:rsid w:val="00FB5B54"/>
    <w:rsid w:val="00FB6238"/>
    <w:rsid w:val="00FB66DF"/>
    <w:rsid w:val="00FB740C"/>
    <w:rsid w:val="00FB7750"/>
    <w:rsid w:val="00FC047C"/>
    <w:rsid w:val="00FC0E27"/>
    <w:rsid w:val="00FC31AD"/>
    <w:rsid w:val="00FC4B90"/>
    <w:rsid w:val="00FC536C"/>
    <w:rsid w:val="00FC6CE4"/>
    <w:rsid w:val="00FC796A"/>
    <w:rsid w:val="00FD0456"/>
    <w:rsid w:val="00FD0EAA"/>
    <w:rsid w:val="00FD1600"/>
    <w:rsid w:val="00FD212E"/>
    <w:rsid w:val="00FD274C"/>
    <w:rsid w:val="00FD29B0"/>
    <w:rsid w:val="00FD3C26"/>
    <w:rsid w:val="00FD4F2E"/>
    <w:rsid w:val="00FD6159"/>
    <w:rsid w:val="00FD6D8C"/>
    <w:rsid w:val="00FE0EA3"/>
    <w:rsid w:val="00FE1634"/>
    <w:rsid w:val="00FE3742"/>
    <w:rsid w:val="00FE561F"/>
    <w:rsid w:val="00FE67B3"/>
    <w:rsid w:val="00FE6D6C"/>
    <w:rsid w:val="00FE7284"/>
    <w:rsid w:val="00FE7516"/>
    <w:rsid w:val="00FE7E3D"/>
    <w:rsid w:val="00FF1093"/>
    <w:rsid w:val="00FF1E49"/>
    <w:rsid w:val="00FF1E4A"/>
    <w:rsid w:val="00FF5419"/>
    <w:rsid w:val="00FF63B8"/>
    <w:rsid w:val="00FF7E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66722F68"/>
  <w15:docId w15:val="{DB6FD025-36BD-4C82-BDF8-29497FD52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42F8"/>
    <w:pPr>
      <w:bidi/>
    </w:pPr>
    <w:rPr>
      <w:sz w:val="24"/>
      <w:szCs w:val="24"/>
    </w:rPr>
  </w:style>
  <w:style w:type="paragraph" w:styleId="Heading1">
    <w:name w:val="heading 1"/>
    <w:basedOn w:val="Normal"/>
    <w:next w:val="Normal"/>
    <w:qFormat/>
    <w:rsid w:val="00E31E9C"/>
    <w:pPr>
      <w:keepNext/>
      <w:bidi w:val="0"/>
      <w:outlineLvl w:val="0"/>
    </w:pPr>
    <w:rPr>
      <w:b/>
      <w:bCs/>
      <w:sz w:val="22"/>
      <w:szCs w:val="22"/>
      <w:u w:val="single"/>
      <w:lang w:val="en-GB"/>
    </w:rPr>
  </w:style>
  <w:style w:type="paragraph" w:styleId="Heading2">
    <w:name w:val="heading 2"/>
    <w:basedOn w:val="Normal"/>
    <w:next w:val="Normal"/>
    <w:qFormat/>
    <w:rsid w:val="00C33E6A"/>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bt"/>
    <w:basedOn w:val="Normal"/>
    <w:rsid w:val="00E31E9C"/>
    <w:pPr>
      <w:tabs>
        <w:tab w:val="left" w:pos="-720"/>
        <w:tab w:val="left" w:pos="199"/>
        <w:tab w:val="left" w:pos="398"/>
        <w:tab w:val="left" w:pos="598"/>
        <w:tab w:val="decimal" w:pos="6199"/>
        <w:tab w:val="decimal" w:pos="8566"/>
      </w:tabs>
      <w:suppressAutoHyphens/>
      <w:bidi w:val="0"/>
      <w:spacing w:line="228" w:lineRule="auto"/>
      <w:jc w:val="both"/>
    </w:pPr>
    <w:rPr>
      <w:lang w:val="en-GB"/>
    </w:rPr>
  </w:style>
  <w:style w:type="paragraph" w:customStyle="1" w:styleId="BodyTextbodytextbt">
    <w:name w:val="Body Text.body text.bt"/>
    <w:basedOn w:val="Normal"/>
    <w:rsid w:val="00E31E9C"/>
    <w:pPr>
      <w:tabs>
        <w:tab w:val="left" w:pos="-720"/>
        <w:tab w:val="left" w:pos="199"/>
        <w:tab w:val="left" w:pos="398"/>
        <w:tab w:val="left" w:pos="598"/>
        <w:tab w:val="decimal" w:pos="6199"/>
        <w:tab w:val="decimal" w:pos="8566"/>
      </w:tabs>
      <w:suppressAutoHyphens/>
      <w:bidi w:val="0"/>
      <w:spacing w:line="228" w:lineRule="auto"/>
      <w:jc w:val="both"/>
    </w:pPr>
    <w:rPr>
      <w:lang w:val="en-GB"/>
    </w:rPr>
  </w:style>
  <w:style w:type="paragraph" w:styleId="BodyTextIndent">
    <w:name w:val="Body Text Indent"/>
    <w:basedOn w:val="Normal"/>
    <w:rsid w:val="00E31E9C"/>
    <w:pPr>
      <w:widowControl w:val="0"/>
      <w:bidi w:val="0"/>
      <w:ind w:left="3600" w:hanging="3600"/>
      <w:jc w:val="both"/>
    </w:pPr>
    <w:rPr>
      <w:lang w:val="en-GB"/>
    </w:rPr>
  </w:style>
  <w:style w:type="paragraph" w:customStyle="1" w:styleId="3H">
    <w:name w:val="3H"/>
    <w:basedOn w:val="Normal"/>
    <w:rsid w:val="00DF2AC5"/>
    <w:pPr>
      <w:keepNext/>
      <w:keepLines/>
      <w:overflowPunct w:val="0"/>
      <w:autoSpaceDE w:val="0"/>
      <w:autoSpaceDN w:val="0"/>
      <w:bidi w:val="0"/>
      <w:adjustRightInd w:val="0"/>
      <w:spacing w:before="240" w:line="260" w:lineRule="exact"/>
      <w:jc w:val="both"/>
      <w:textAlignment w:val="baseline"/>
    </w:pPr>
    <w:rPr>
      <w:i/>
      <w:iCs/>
      <w:sz w:val="22"/>
      <w:szCs w:val="22"/>
      <w:lang w:eastAsia="ar-SA"/>
    </w:rPr>
  </w:style>
  <w:style w:type="paragraph" w:customStyle="1" w:styleId="12">
    <w:name w:val="12"/>
    <w:basedOn w:val="Normal"/>
    <w:rsid w:val="00DF2AC5"/>
    <w:pPr>
      <w:overflowPunct w:val="0"/>
      <w:autoSpaceDE w:val="0"/>
      <w:autoSpaceDN w:val="0"/>
      <w:bidi w:val="0"/>
      <w:adjustRightInd w:val="0"/>
      <w:spacing w:before="240" w:line="260" w:lineRule="exact"/>
      <w:jc w:val="both"/>
      <w:textAlignment w:val="baseline"/>
    </w:pPr>
    <w:rPr>
      <w:sz w:val="22"/>
      <w:szCs w:val="22"/>
      <w:lang w:eastAsia="ar-SA"/>
    </w:rPr>
  </w:style>
  <w:style w:type="paragraph" w:styleId="Footer">
    <w:name w:val="footer"/>
    <w:basedOn w:val="Normal"/>
    <w:rsid w:val="00130AA0"/>
    <w:pPr>
      <w:tabs>
        <w:tab w:val="center" w:pos="4153"/>
        <w:tab w:val="right" w:pos="8306"/>
      </w:tabs>
    </w:pPr>
  </w:style>
  <w:style w:type="character" w:styleId="PageNumber">
    <w:name w:val="page number"/>
    <w:basedOn w:val="DefaultParagraphFont"/>
    <w:rsid w:val="00130AA0"/>
  </w:style>
  <w:style w:type="paragraph" w:styleId="NormalWeb">
    <w:name w:val="Normal (Web)"/>
    <w:basedOn w:val="Normal"/>
    <w:uiPriority w:val="99"/>
    <w:rsid w:val="00C33E6A"/>
    <w:pPr>
      <w:bidi w:val="0"/>
      <w:spacing w:before="100" w:beforeAutospacing="1" w:after="100" w:afterAutospacing="1"/>
    </w:pPr>
    <w:rPr>
      <w:color w:val="000000"/>
      <w:lang w:eastAsia="ar-SA"/>
    </w:rPr>
  </w:style>
  <w:style w:type="paragraph" w:styleId="Header">
    <w:name w:val="header"/>
    <w:basedOn w:val="Normal"/>
    <w:rsid w:val="00B1379F"/>
    <w:pPr>
      <w:tabs>
        <w:tab w:val="center" w:pos="4153"/>
        <w:tab w:val="right" w:pos="8306"/>
      </w:tabs>
    </w:pPr>
  </w:style>
  <w:style w:type="paragraph" w:styleId="BalloonText">
    <w:name w:val="Balloon Text"/>
    <w:basedOn w:val="Normal"/>
    <w:semiHidden/>
    <w:rsid w:val="00B1379F"/>
    <w:rPr>
      <w:rFonts w:ascii="Tahoma" w:hAnsi="Tahoma" w:cs="Tahoma"/>
      <w:sz w:val="16"/>
      <w:szCs w:val="16"/>
    </w:rPr>
  </w:style>
  <w:style w:type="paragraph" w:styleId="ListParagraph">
    <w:name w:val="List Paragraph"/>
    <w:basedOn w:val="Normal"/>
    <w:uiPriority w:val="34"/>
    <w:qFormat/>
    <w:rsid w:val="00CA18DA"/>
    <w:pPr>
      <w:ind w:left="720"/>
    </w:pPr>
  </w:style>
  <w:style w:type="paragraph" w:styleId="NoSpacing">
    <w:name w:val="No Spacing"/>
    <w:link w:val="NoSpacingChar"/>
    <w:uiPriority w:val="1"/>
    <w:qFormat/>
    <w:rsid w:val="000D252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0D252E"/>
    <w:rPr>
      <w:rFonts w:asciiTheme="minorHAnsi" w:eastAsiaTheme="minorEastAsia" w:hAnsiTheme="minorHAnsi" w:cstheme="minorBidi"/>
      <w:sz w:val="22"/>
      <w:szCs w:val="22"/>
    </w:rPr>
  </w:style>
  <w:style w:type="paragraph" w:styleId="BodyText2">
    <w:name w:val="Body Text 2"/>
    <w:basedOn w:val="Normal"/>
    <w:link w:val="BodyText2Char"/>
    <w:rsid w:val="0024639C"/>
    <w:pPr>
      <w:spacing w:after="120" w:line="480" w:lineRule="auto"/>
    </w:pPr>
  </w:style>
  <w:style w:type="character" w:customStyle="1" w:styleId="BodyText2Char">
    <w:name w:val="Body Text 2 Char"/>
    <w:basedOn w:val="DefaultParagraphFont"/>
    <w:link w:val="BodyText2"/>
    <w:rsid w:val="0024639C"/>
    <w:rPr>
      <w:sz w:val="24"/>
      <w:szCs w:val="24"/>
    </w:rPr>
  </w:style>
  <w:style w:type="paragraph" w:styleId="Revision">
    <w:name w:val="Revision"/>
    <w:hidden/>
    <w:uiPriority w:val="99"/>
    <w:semiHidden/>
    <w:rsid w:val="001402BF"/>
    <w:rPr>
      <w:sz w:val="24"/>
      <w:szCs w:val="24"/>
    </w:rPr>
  </w:style>
  <w:style w:type="table" w:styleId="TableGrid">
    <w:name w:val="Table Grid"/>
    <w:basedOn w:val="TableNormal"/>
    <w:uiPriority w:val="59"/>
    <w:rsid w:val="005C1B4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5E42"/>
    <w:pPr>
      <w:autoSpaceDE w:val="0"/>
      <w:autoSpaceDN w:val="0"/>
      <w:adjustRightInd w:val="0"/>
    </w:pPr>
    <w:rPr>
      <w:rFonts w:ascii="Segoe UI" w:hAnsi="Segoe UI" w:cs="Segoe UI"/>
      <w:color w:val="000000"/>
      <w:sz w:val="24"/>
      <w:szCs w:val="24"/>
    </w:rPr>
  </w:style>
  <w:style w:type="table" w:customStyle="1" w:styleId="PlainTable21">
    <w:name w:val="Plain Table 21"/>
    <w:basedOn w:val="TableNormal"/>
    <w:uiPriority w:val="42"/>
    <w:rsid w:val="0062398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62398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C678DE"/>
    <w:rPr>
      <w:sz w:val="16"/>
      <w:szCs w:val="16"/>
    </w:rPr>
  </w:style>
  <w:style w:type="paragraph" w:styleId="CommentText">
    <w:name w:val="annotation text"/>
    <w:basedOn w:val="Normal"/>
    <w:link w:val="CommentTextChar"/>
    <w:uiPriority w:val="99"/>
    <w:unhideWhenUsed/>
    <w:rsid w:val="00C678DE"/>
    <w:rPr>
      <w:sz w:val="20"/>
      <w:szCs w:val="20"/>
    </w:rPr>
  </w:style>
  <w:style w:type="character" w:customStyle="1" w:styleId="CommentTextChar">
    <w:name w:val="Comment Text Char"/>
    <w:basedOn w:val="DefaultParagraphFont"/>
    <w:link w:val="CommentText"/>
    <w:uiPriority w:val="99"/>
    <w:rsid w:val="00C678DE"/>
  </w:style>
  <w:style w:type="paragraph" w:styleId="CommentSubject">
    <w:name w:val="annotation subject"/>
    <w:basedOn w:val="CommentText"/>
    <w:next w:val="CommentText"/>
    <w:link w:val="CommentSubjectChar"/>
    <w:semiHidden/>
    <w:unhideWhenUsed/>
    <w:rsid w:val="00C678DE"/>
    <w:rPr>
      <w:b/>
      <w:bCs/>
    </w:rPr>
  </w:style>
  <w:style w:type="character" w:customStyle="1" w:styleId="CommentSubjectChar">
    <w:name w:val="Comment Subject Char"/>
    <w:basedOn w:val="CommentTextChar"/>
    <w:link w:val="CommentSubject"/>
    <w:semiHidden/>
    <w:rsid w:val="00C678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3945">
      <w:bodyDiv w:val="1"/>
      <w:marLeft w:val="0"/>
      <w:marRight w:val="0"/>
      <w:marTop w:val="0"/>
      <w:marBottom w:val="0"/>
      <w:divBdr>
        <w:top w:val="none" w:sz="0" w:space="0" w:color="auto"/>
        <w:left w:val="none" w:sz="0" w:space="0" w:color="auto"/>
        <w:bottom w:val="none" w:sz="0" w:space="0" w:color="auto"/>
        <w:right w:val="none" w:sz="0" w:space="0" w:color="auto"/>
      </w:divBdr>
    </w:div>
    <w:div w:id="12465974">
      <w:bodyDiv w:val="1"/>
      <w:marLeft w:val="0"/>
      <w:marRight w:val="0"/>
      <w:marTop w:val="0"/>
      <w:marBottom w:val="0"/>
      <w:divBdr>
        <w:top w:val="none" w:sz="0" w:space="0" w:color="auto"/>
        <w:left w:val="none" w:sz="0" w:space="0" w:color="auto"/>
        <w:bottom w:val="none" w:sz="0" w:space="0" w:color="auto"/>
        <w:right w:val="none" w:sz="0" w:space="0" w:color="auto"/>
      </w:divBdr>
    </w:div>
    <w:div w:id="30228293">
      <w:bodyDiv w:val="1"/>
      <w:marLeft w:val="0"/>
      <w:marRight w:val="0"/>
      <w:marTop w:val="0"/>
      <w:marBottom w:val="0"/>
      <w:divBdr>
        <w:top w:val="none" w:sz="0" w:space="0" w:color="auto"/>
        <w:left w:val="none" w:sz="0" w:space="0" w:color="auto"/>
        <w:bottom w:val="none" w:sz="0" w:space="0" w:color="auto"/>
        <w:right w:val="none" w:sz="0" w:space="0" w:color="auto"/>
      </w:divBdr>
    </w:div>
    <w:div w:id="34232884">
      <w:bodyDiv w:val="1"/>
      <w:marLeft w:val="0"/>
      <w:marRight w:val="0"/>
      <w:marTop w:val="0"/>
      <w:marBottom w:val="0"/>
      <w:divBdr>
        <w:top w:val="none" w:sz="0" w:space="0" w:color="auto"/>
        <w:left w:val="none" w:sz="0" w:space="0" w:color="auto"/>
        <w:bottom w:val="none" w:sz="0" w:space="0" w:color="auto"/>
        <w:right w:val="none" w:sz="0" w:space="0" w:color="auto"/>
      </w:divBdr>
    </w:div>
    <w:div w:id="69038855">
      <w:bodyDiv w:val="1"/>
      <w:marLeft w:val="0"/>
      <w:marRight w:val="0"/>
      <w:marTop w:val="0"/>
      <w:marBottom w:val="0"/>
      <w:divBdr>
        <w:top w:val="none" w:sz="0" w:space="0" w:color="auto"/>
        <w:left w:val="none" w:sz="0" w:space="0" w:color="auto"/>
        <w:bottom w:val="none" w:sz="0" w:space="0" w:color="auto"/>
        <w:right w:val="none" w:sz="0" w:space="0" w:color="auto"/>
      </w:divBdr>
    </w:div>
    <w:div w:id="70783074">
      <w:bodyDiv w:val="1"/>
      <w:marLeft w:val="0"/>
      <w:marRight w:val="0"/>
      <w:marTop w:val="0"/>
      <w:marBottom w:val="0"/>
      <w:divBdr>
        <w:top w:val="none" w:sz="0" w:space="0" w:color="auto"/>
        <w:left w:val="none" w:sz="0" w:space="0" w:color="auto"/>
        <w:bottom w:val="none" w:sz="0" w:space="0" w:color="auto"/>
        <w:right w:val="none" w:sz="0" w:space="0" w:color="auto"/>
      </w:divBdr>
    </w:div>
    <w:div w:id="74861636">
      <w:bodyDiv w:val="1"/>
      <w:marLeft w:val="0"/>
      <w:marRight w:val="0"/>
      <w:marTop w:val="0"/>
      <w:marBottom w:val="0"/>
      <w:divBdr>
        <w:top w:val="none" w:sz="0" w:space="0" w:color="auto"/>
        <w:left w:val="none" w:sz="0" w:space="0" w:color="auto"/>
        <w:bottom w:val="none" w:sz="0" w:space="0" w:color="auto"/>
        <w:right w:val="none" w:sz="0" w:space="0" w:color="auto"/>
      </w:divBdr>
    </w:div>
    <w:div w:id="78454401">
      <w:bodyDiv w:val="1"/>
      <w:marLeft w:val="0"/>
      <w:marRight w:val="0"/>
      <w:marTop w:val="0"/>
      <w:marBottom w:val="0"/>
      <w:divBdr>
        <w:top w:val="none" w:sz="0" w:space="0" w:color="auto"/>
        <w:left w:val="none" w:sz="0" w:space="0" w:color="auto"/>
        <w:bottom w:val="none" w:sz="0" w:space="0" w:color="auto"/>
        <w:right w:val="none" w:sz="0" w:space="0" w:color="auto"/>
      </w:divBdr>
    </w:div>
    <w:div w:id="83844317">
      <w:bodyDiv w:val="1"/>
      <w:marLeft w:val="0"/>
      <w:marRight w:val="0"/>
      <w:marTop w:val="0"/>
      <w:marBottom w:val="0"/>
      <w:divBdr>
        <w:top w:val="none" w:sz="0" w:space="0" w:color="auto"/>
        <w:left w:val="none" w:sz="0" w:space="0" w:color="auto"/>
        <w:bottom w:val="none" w:sz="0" w:space="0" w:color="auto"/>
        <w:right w:val="none" w:sz="0" w:space="0" w:color="auto"/>
      </w:divBdr>
    </w:div>
    <w:div w:id="108820385">
      <w:bodyDiv w:val="1"/>
      <w:marLeft w:val="0"/>
      <w:marRight w:val="0"/>
      <w:marTop w:val="0"/>
      <w:marBottom w:val="0"/>
      <w:divBdr>
        <w:top w:val="none" w:sz="0" w:space="0" w:color="auto"/>
        <w:left w:val="none" w:sz="0" w:space="0" w:color="auto"/>
        <w:bottom w:val="none" w:sz="0" w:space="0" w:color="auto"/>
        <w:right w:val="none" w:sz="0" w:space="0" w:color="auto"/>
      </w:divBdr>
    </w:div>
    <w:div w:id="112990354">
      <w:bodyDiv w:val="1"/>
      <w:marLeft w:val="0"/>
      <w:marRight w:val="0"/>
      <w:marTop w:val="0"/>
      <w:marBottom w:val="0"/>
      <w:divBdr>
        <w:top w:val="none" w:sz="0" w:space="0" w:color="auto"/>
        <w:left w:val="none" w:sz="0" w:space="0" w:color="auto"/>
        <w:bottom w:val="none" w:sz="0" w:space="0" w:color="auto"/>
        <w:right w:val="none" w:sz="0" w:space="0" w:color="auto"/>
      </w:divBdr>
    </w:div>
    <w:div w:id="113251780">
      <w:bodyDiv w:val="1"/>
      <w:marLeft w:val="0"/>
      <w:marRight w:val="0"/>
      <w:marTop w:val="0"/>
      <w:marBottom w:val="0"/>
      <w:divBdr>
        <w:top w:val="none" w:sz="0" w:space="0" w:color="auto"/>
        <w:left w:val="none" w:sz="0" w:space="0" w:color="auto"/>
        <w:bottom w:val="none" w:sz="0" w:space="0" w:color="auto"/>
        <w:right w:val="none" w:sz="0" w:space="0" w:color="auto"/>
      </w:divBdr>
    </w:div>
    <w:div w:id="116024430">
      <w:bodyDiv w:val="1"/>
      <w:marLeft w:val="0"/>
      <w:marRight w:val="0"/>
      <w:marTop w:val="0"/>
      <w:marBottom w:val="0"/>
      <w:divBdr>
        <w:top w:val="none" w:sz="0" w:space="0" w:color="auto"/>
        <w:left w:val="none" w:sz="0" w:space="0" w:color="auto"/>
        <w:bottom w:val="none" w:sz="0" w:space="0" w:color="auto"/>
        <w:right w:val="none" w:sz="0" w:space="0" w:color="auto"/>
      </w:divBdr>
    </w:div>
    <w:div w:id="132799684">
      <w:bodyDiv w:val="1"/>
      <w:marLeft w:val="0"/>
      <w:marRight w:val="0"/>
      <w:marTop w:val="0"/>
      <w:marBottom w:val="0"/>
      <w:divBdr>
        <w:top w:val="none" w:sz="0" w:space="0" w:color="auto"/>
        <w:left w:val="none" w:sz="0" w:space="0" w:color="auto"/>
        <w:bottom w:val="none" w:sz="0" w:space="0" w:color="auto"/>
        <w:right w:val="none" w:sz="0" w:space="0" w:color="auto"/>
      </w:divBdr>
    </w:div>
    <w:div w:id="135537625">
      <w:bodyDiv w:val="1"/>
      <w:marLeft w:val="0"/>
      <w:marRight w:val="0"/>
      <w:marTop w:val="0"/>
      <w:marBottom w:val="0"/>
      <w:divBdr>
        <w:top w:val="none" w:sz="0" w:space="0" w:color="auto"/>
        <w:left w:val="none" w:sz="0" w:space="0" w:color="auto"/>
        <w:bottom w:val="none" w:sz="0" w:space="0" w:color="auto"/>
        <w:right w:val="none" w:sz="0" w:space="0" w:color="auto"/>
      </w:divBdr>
    </w:div>
    <w:div w:id="149097404">
      <w:bodyDiv w:val="1"/>
      <w:marLeft w:val="0"/>
      <w:marRight w:val="0"/>
      <w:marTop w:val="0"/>
      <w:marBottom w:val="0"/>
      <w:divBdr>
        <w:top w:val="none" w:sz="0" w:space="0" w:color="auto"/>
        <w:left w:val="none" w:sz="0" w:space="0" w:color="auto"/>
        <w:bottom w:val="none" w:sz="0" w:space="0" w:color="auto"/>
        <w:right w:val="none" w:sz="0" w:space="0" w:color="auto"/>
      </w:divBdr>
    </w:div>
    <w:div w:id="151869303">
      <w:bodyDiv w:val="1"/>
      <w:marLeft w:val="0"/>
      <w:marRight w:val="0"/>
      <w:marTop w:val="0"/>
      <w:marBottom w:val="0"/>
      <w:divBdr>
        <w:top w:val="none" w:sz="0" w:space="0" w:color="auto"/>
        <w:left w:val="none" w:sz="0" w:space="0" w:color="auto"/>
        <w:bottom w:val="none" w:sz="0" w:space="0" w:color="auto"/>
        <w:right w:val="none" w:sz="0" w:space="0" w:color="auto"/>
      </w:divBdr>
    </w:div>
    <w:div w:id="180975870">
      <w:bodyDiv w:val="1"/>
      <w:marLeft w:val="0"/>
      <w:marRight w:val="0"/>
      <w:marTop w:val="0"/>
      <w:marBottom w:val="0"/>
      <w:divBdr>
        <w:top w:val="none" w:sz="0" w:space="0" w:color="auto"/>
        <w:left w:val="none" w:sz="0" w:space="0" w:color="auto"/>
        <w:bottom w:val="none" w:sz="0" w:space="0" w:color="auto"/>
        <w:right w:val="none" w:sz="0" w:space="0" w:color="auto"/>
      </w:divBdr>
    </w:div>
    <w:div w:id="181165411">
      <w:bodyDiv w:val="1"/>
      <w:marLeft w:val="0"/>
      <w:marRight w:val="0"/>
      <w:marTop w:val="0"/>
      <w:marBottom w:val="0"/>
      <w:divBdr>
        <w:top w:val="none" w:sz="0" w:space="0" w:color="auto"/>
        <w:left w:val="none" w:sz="0" w:space="0" w:color="auto"/>
        <w:bottom w:val="none" w:sz="0" w:space="0" w:color="auto"/>
        <w:right w:val="none" w:sz="0" w:space="0" w:color="auto"/>
      </w:divBdr>
    </w:div>
    <w:div w:id="181549797">
      <w:bodyDiv w:val="1"/>
      <w:marLeft w:val="0"/>
      <w:marRight w:val="0"/>
      <w:marTop w:val="0"/>
      <w:marBottom w:val="0"/>
      <w:divBdr>
        <w:top w:val="none" w:sz="0" w:space="0" w:color="auto"/>
        <w:left w:val="none" w:sz="0" w:space="0" w:color="auto"/>
        <w:bottom w:val="none" w:sz="0" w:space="0" w:color="auto"/>
        <w:right w:val="none" w:sz="0" w:space="0" w:color="auto"/>
      </w:divBdr>
    </w:div>
    <w:div w:id="182090091">
      <w:bodyDiv w:val="1"/>
      <w:marLeft w:val="0"/>
      <w:marRight w:val="0"/>
      <w:marTop w:val="0"/>
      <w:marBottom w:val="0"/>
      <w:divBdr>
        <w:top w:val="none" w:sz="0" w:space="0" w:color="auto"/>
        <w:left w:val="none" w:sz="0" w:space="0" w:color="auto"/>
        <w:bottom w:val="none" w:sz="0" w:space="0" w:color="auto"/>
        <w:right w:val="none" w:sz="0" w:space="0" w:color="auto"/>
      </w:divBdr>
    </w:div>
    <w:div w:id="188613494">
      <w:bodyDiv w:val="1"/>
      <w:marLeft w:val="0"/>
      <w:marRight w:val="0"/>
      <w:marTop w:val="0"/>
      <w:marBottom w:val="0"/>
      <w:divBdr>
        <w:top w:val="none" w:sz="0" w:space="0" w:color="auto"/>
        <w:left w:val="none" w:sz="0" w:space="0" w:color="auto"/>
        <w:bottom w:val="none" w:sz="0" w:space="0" w:color="auto"/>
        <w:right w:val="none" w:sz="0" w:space="0" w:color="auto"/>
      </w:divBdr>
    </w:div>
    <w:div w:id="210656436">
      <w:bodyDiv w:val="1"/>
      <w:marLeft w:val="0"/>
      <w:marRight w:val="0"/>
      <w:marTop w:val="0"/>
      <w:marBottom w:val="0"/>
      <w:divBdr>
        <w:top w:val="none" w:sz="0" w:space="0" w:color="auto"/>
        <w:left w:val="none" w:sz="0" w:space="0" w:color="auto"/>
        <w:bottom w:val="none" w:sz="0" w:space="0" w:color="auto"/>
        <w:right w:val="none" w:sz="0" w:space="0" w:color="auto"/>
      </w:divBdr>
    </w:div>
    <w:div w:id="210922320">
      <w:bodyDiv w:val="1"/>
      <w:marLeft w:val="0"/>
      <w:marRight w:val="0"/>
      <w:marTop w:val="0"/>
      <w:marBottom w:val="0"/>
      <w:divBdr>
        <w:top w:val="none" w:sz="0" w:space="0" w:color="auto"/>
        <w:left w:val="none" w:sz="0" w:space="0" w:color="auto"/>
        <w:bottom w:val="none" w:sz="0" w:space="0" w:color="auto"/>
        <w:right w:val="none" w:sz="0" w:space="0" w:color="auto"/>
      </w:divBdr>
    </w:div>
    <w:div w:id="213856686">
      <w:bodyDiv w:val="1"/>
      <w:marLeft w:val="0"/>
      <w:marRight w:val="0"/>
      <w:marTop w:val="0"/>
      <w:marBottom w:val="0"/>
      <w:divBdr>
        <w:top w:val="none" w:sz="0" w:space="0" w:color="auto"/>
        <w:left w:val="none" w:sz="0" w:space="0" w:color="auto"/>
        <w:bottom w:val="none" w:sz="0" w:space="0" w:color="auto"/>
        <w:right w:val="none" w:sz="0" w:space="0" w:color="auto"/>
      </w:divBdr>
    </w:div>
    <w:div w:id="214780905">
      <w:bodyDiv w:val="1"/>
      <w:marLeft w:val="0"/>
      <w:marRight w:val="0"/>
      <w:marTop w:val="0"/>
      <w:marBottom w:val="0"/>
      <w:divBdr>
        <w:top w:val="none" w:sz="0" w:space="0" w:color="auto"/>
        <w:left w:val="none" w:sz="0" w:space="0" w:color="auto"/>
        <w:bottom w:val="none" w:sz="0" w:space="0" w:color="auto"/>
        <w:right w:val="none" w:sz="0" w:space="0" w:color="auto"/>
      </w:divBdr>
    </w:div>
    <w:div w:id="228738340">
      <w:bodyDiv w:val="1"/>
      <w:marLeft w:val="0"/>
      <w:marRight w:val="0"/>
      <w:marTop w:val="0"/>
      <w:marBottom w:val="0"/>
      <w:divBdr>
        <w:top w:val="none" w:sz="0" w:space="0" w:color="auto"/>
        <w:left w:val="none" w:sz="0" w:space="0" w:color="auto"/>
        <w:bottom w:val="none" w:sz="0" w:space="0" w:color="auto"/>
        <w:right w:val="none" w:sz="0" w:space="0" w:color="auto"/>
      </w:divBdr>
    </w:div>
    <w:div w:id="237715096">
      <w:bodyDiv w:val="1"/>
      <w:marLeft w:val="0"/>
      <w:marRight w:val="0"/>
      <w:marTop w:val="0"/>
      <w:marBottom w:val="0"/>
      <w:divBdr>
        <w:top w:val="none" w:sz="0" w:space="0" w:color="auto"/>
        <w:left w:val="none" w:sz="0" w:space="0" w:color="auto"/>
        <w:bottom w:val="none" w:sz="0" w:space="0" w:color="auto"/>
        <w:right w:val="none" w:sz="0" w:space="0" w:color="auto"/>
      </w:divBdr>
    </w:div>
    <w:div w:id="256989908">
      <w:bodyDiv w:val="1"/>
      <w:marLeft w:val="0"/>
      <w:marRight w:val="0"/>
      <w:marTop w:val="0"/>
      <w:marBottom w:val="0"/>
      <w:divBdr>
        <w:top w:val="none" w:sz="0" w:space="0" w:color="auto"/>
        <w:left w:val="none" w:sz="0" w:space="0" w:color="auto"/>
        <w:bottom w:val="none" w:sz="0" w:space="0" w:color="auto"/>
        <w:right w:val="none" w:sz="0" w:space="0" w:color="auto"/>
      </w:divBdr>
    </w:div>
    <w:div w:id="264458840">
      <w:bodyDiv w:val="1"/>
      <w:marLeft w:val="0"/>
      <w:marRight w:val="0"/>
      <w:marTop w:val="0"/>
      <w:marBottom w:val="0"/>
      <w:divBdr>
        <w:top w:val="none" w:sz="0" w:space="0" w:color="auto"/>
        <w:left w:val="none" w:sz="0" w:space="0" w:color="auto"/>
        <w:bottom w:val="none" w:sz="0" w:space="0" w:color="auto"/>
        <w:right w:val="none" w:sz="0" w:space="0" w:color="auto"/>
      </w:divBdr>
    </w:div>
    <w:div w:id="266281222">
      <w:bodyDiv w:val="1"/>
      <w:marLeft w:val="0"/>
      <w:marRight w:val="0"/>
      <w:marTop w:val="0"/>
      <w:marBottom w:val="0"/>
      <w:divBdr>
        <w:top w:val="none" w:sz="0" w:space="0" w:color="auto"/>
        <w:left w:val="none" w:sz="0" w:space="0" w:color="auto"/>
        <w:bottom w:val="none" w:sz="0" w:space="0" w:color="auto"/>
        <w:right w:val="none" w:sz="0" w:space="0" w:color="auto"/>
      </w:divBdr>
    </w:div>
    <w:div w:id="277297859">
      <w:bodyDiv w:val="1"/>
      <w:marLeft w:val="0"/>
      <w:marRight w:val="0"/>
      <w:marTop w:val="0"/>
      <w:marBottom w:val="0"/>
      <w:divBdr>
        <w:top w:val="none" w:sz="0" w:space="0" w:color="auto"/>
        <w:left w:val="none" w:sz="0" w:space="0" w:color="auto"/>
        <w:bottom w:val="none" w:sz="0" w:space="0" w:color="auto"/>
        <w:right w:val="none" w:sz="0" w:space="0" w:color="auto"/>
      </w:divBdr>
    </w:div>
    <w:div w:id="291136128">
      <w:bodyDiv w:val="1"/>
      <w:marLeft w:val="0"/>
      <w:marRight w:val="0"/>
      <w:marTop w:val="0"/>
      <w:marBottom w:val="0"/>
      <w:divBdr>
        <w:top w:val="none" w:sz="0" w:space="0" w:color="auto"/>
        <w:left w:val="none" w:sz="0" w:space="0" w:color="auto"/>
        <w:bottom w:val="none" w:sz="0" w:space="0" w:color="auto"/>
        <w:right w:val="none" w:sz="0" w:space="0" w:color="auto"/>
      </w:divBdr>
    </w:div>
    <w:div w:id="298389879">
      <w:bodyDiv w:val="1"/>
      <w:marLeft w:val="0"/>
      <w:marRight w:val="0"/>
      <w:marTop w:val="0"/>
      <w:marBottom w:val="0"/>
      <w:divBdr>
        <w:top w:val="none" w:sz="0" w:space="0" w:color="auto"/>
        <w:left w:val="none" w:sz="0" w:space="0" w:color="auto"/>
        <w:bottom w:val="none" w:sz="0" w:space="0" w:color="auto"/>
        <w:right w:val="none" w:sz="0" w:space="0" w:color="auto"/>
      </w:divBdr>
    </w:div>
    <w:div w:id="304312728">
      <w:bodyDiv w:val="1"/>
      <w:marLeft w:val="0"/>
      <w:marRight w:val="0"/>
      <w:marTop w:val="0"/>
      <w:marBottom w:val="0"/>
      <w:divBdr>
        <w:top w:val="none" w:sz="0" w:space="0" w:color="auto"/>
        <w:left w:val="none" w:sz="0" w:space="0" w:color="auto"/>
        <w:bottom w:val="none" w:sz="0" w:space="0" w:color="auto"/>
        <w:right w:val="none" w:sz="0" w:space="0" w:color="auto"/>
      </w:divBdr>
    </w:div>
    <w:div w:id="306251493">
      <w:bodyDiv w:val="1"/>
      <w:marLeft w:val="0"/>
      <w:marRight w:val="0"/>
      <w:marTop w:val="0"/>
      <w:marBottom w:val="0"/>
      <w:divBdr>
        <w:top w:val="none" w:sz="0" w:space="0" w:color="auto"/>
        <w:left w:val="none" w:sz="0" w:space="0" w:color="auto"/>
        <w:bottom w:val="none" w:sz="0" w:space="0" w:color="auto"/>
        <w:right w:val="none" w:sz="0" w:space="0" w:color="auto"/>
      </w:divBdr>
    </w:div>
    <w:div w:id="310600353">
      <w:bodyDiv w:val="1"/>
      <w:marLeft w:val="0"/>
      <w:marRight w:val="0"/>
      <w:marTop w:val="0"/>
      <w:marBottom w:val="0"/>
      <w:divBdr>
        <w:top w:val="none" w:sz="0" w:space="0" w:color="auto"/>
        <w:left w:val="none" w:sz="0" w:space="0" w:color="auto"/>
        <w:bottom w:val="none" w:sz="0" w:space="0" w:color="auto"/>
        <w:right w:val="none" w:sz="0" w:space="0" w:color="auto"/>
      </w:divBdr>
    </w:div>
    <w:div w:id="312833450">
      <w:bodyDiv w:val="1"/>
      <w:marLeft w:val="0"/>
      <w:marRight w:val="0"/>
      <w:marTop w:val="0"/>
      <w:marBottom w:val="0"/>
      <w:divBdr>
        <w:top w:val="none" w:sz="0" w:space="0" w:color="auto"/>
        <w:left w:val="none" w:sz="0" w:space="0" w:color="auto"/>
        <w:bottom w:val="none" w:sz="0" w:space="0" w:color="auto"/>
        <w:right w:val="none" w:sz="0" w:space="0" w:color="auto"/>
      </w:divBdr>
    </w:div>
    <w:div w:id="324287095">
      <w:bodyDiv w:val="1"/>
      <w:marLeft w:val="0"/>
      <w:marRight w:val="0"/>
      <w:marTop w:val="0"/>
      <w:marBottom w:val="0"/>
      <w:divBdr>
        <w:top w:val="none" w:sz="0" w:space="0" w:color="auto"/>
        <w:left w:val="none" w:sz="0" w:space="0" w:color="auto"/>
        <w:bottom w:val="none" w:sz="0" w:space="0" w:color="auto"/>
        <w:right w:val="none" w:sz="0" w:space="0" w:color="auto"/>
      </w:divBdr>
    </w:div>
    <w:div w:id="328406252">
      <w:bodyDiv w:val="1"/>
      <w:marLeft w:val="0"/>
      <w:marRight w:val="0"/>
      <w:marTop w:val="0"/>
      <w:marBottom w:val="0"/>
      <w:divBdr>
        <w:top w:val="none" w:sz="0" w:space="0" w:color="auto"/>
        <w:left w:val="none" w:sz="0" w:space="0" w:color="auto"/>
        <w:bottom w:val="none" w:sz="0" w:space="0" w:color="auto"/>
        <w:right w:val="none" w:sz="0" w:space="0" w:color="auto"/>
      </w:divBdr>
    </w:div>
    <w:div w:id="341786757">
      <w:bodyDiv w:val="1"/>
      <w:marLeft w:val="0"/>
      <w:marRight w:val="0"/>
      <w:marTop w:val="0"/>
      <w:marBottom w:val="0"/>
      <w:divBdr>
        <w:top w:val="none" w:sz="0" w:space="0" w:color="auto"/>
        <w:left w:val="none" w:sz="0" w:space="0" w:color="auto"/>
        <w:bottom w:val="none" w:sz="0" w:space="0" w:color="auto"/>
        <w:right w:val="none" w:sz="0" w:space="0" w:color="auto"/>
      </w:divBdr>
    </w:div>
    <w:div w:id="356585303">
      <w:bodyDiv w:val="1"/>
      <w:marLeft w:val="0"/>
      <w:marRight w:val="0"/>
      <w:marTop w:val="0"/>
      <w:marBottom w:val="0"/>
      <w:divBdr>
        <w:top w:val="none" w:sz="0" w:space="0" w:color="auto"/>
        <w:left w:val="none" w:sz="0" w:space="0" w:color="auto"/>
        <w:bottom w:val="none" w:sz="0" w:space="0" w:color="auto"/>
        <w:right w:val="none" w:sz="0" w:space="0" w:color="auto"/>
      </w:divBdr>
    </w:div>
    <w:div w:id="358436618">
      <w:bodyDiv w:val="1"/>
      <w:marLeft w:val="0"/>
      <w:marRight w:val="0"/>
      <w:marTop w:val="0"/>
      <w:marBottom w:val="0"/>
      <w:divBdr>
        <w:top w:val="none" w:sz="0" w:space="0" w:color="auto"/>
        <w:left w:val="none" w:sz="0" w:space="0" w:color="auto"/>
        <w:bottom w:val="none" w:sz="0" w:space="0" w:color="auto"/>
        <w:right w:val="none" w:sz="0" w:space="0" w:color="auto"/>
      </w:divBdr>
    </w:div>
    <w:div w:id="358623288">
      <w:bodyDiv w:val="1"/>
      <w:marLeft w:val="0"/>
      <w:marRight w:val="0"/>
      <w:marTop w:val="0"/>
      <w:marBottom w:val="0"/>
      <w:divBdr>
        <w:top w:val="none" w:sz="0" w:space="0" w:color="auto"/>
        <w:left w:val="none" w:sz="0" w:space="0" w:color="auto"/>
        <w:bottom w:val="none" w:sz="0" w:space="0" w:color="auto"/>
        <w:right w:val="none" w:sz="0" w:space="0" w:color="auto"/>
      </w:divBdr>
    </w:div>
    <w:div w:id="380134751">
      <w:bodyDiv w:val="1"/>
      <w:marLeft w:val="0"/>
      <w:marRight w:val="0"/>
      <w:marTop w:val="0"/>
      <w:marBottom w:val="0"/>
      <w:divBdr>
        <w:top w:val="none" w:sz="0" w:space="0" w:color="auto"/>
        <w:left w:val="none" w:sz="0" w:space="0" w:color="auto"/>
        <w:bottom w:val="none" w:sz="0" w:space="0" w:color="auto"/>
        <w:right w:val="none" w:sz="0" w:space="0" w:color="auto"/>
      </w:divBdr>
    </w:div>
    <w:div w:id="395862469">
      <w:bodyDiv w:val="1"/>
      <w:marLeft w:val="0"/>
      <w:marRight w:val="0"/>
      <w:marTop w:val="0"/>
      <w:marBottom w:val="0"/>
      <w:divBdr>
        <w:top w:val="none" w:sz="0" w:space="0" w:color="auto"/>
        <w:left w:val="none" w:sz="0" w:space="0" w:color="auto"/>
        <w:bottom w:val="none" w:sz="0" w:space="0" w:color="auto"/>
        <w:right w:val="none" w:sz="0" w:space="0" w:color="auto"/>
      </w:divBdr>
    </w:div>
    <w:div w:id="406922868">
      <w:bodyDiv w:val="1"/>
      <w:marLeft w:val="0"/>
      <w:marRight w:val="0"/>
      <w:marTop w:val="0"/>
      <w:marBottom w:val="0"/>
      <w:divBdr>
        <w:top w:val="none" w:sz="0" w:space="0" w:color="auto"/>
        <w:left w:val="none" w:sz="0" w:space="0" w:color="auto"/>
        <w:bottom w:val="none" w:sz="0" w:space="0" w:color="auto"/>
        <w:right w:val="none" w:sz="0" w:space="0" w:color="auto"/>
      </w:divBdr>
    </w:div>
    <w:div w:id="410156480">
      <w:bodyDiv w:val="1"/>
      <w:marLeft w:val="0"/>
      <w:marRight w:val="0"/>
      <w:marTop w:val="0"/>
      <w:marBottom w:val="0"/>
      <w:divBdr>
        <w:top w:val="none" w:sz="0" w:space="0" w:color="auto"/>
        <w:left w:val="none" w:sz="0" w:space="0" w:color="auto"/>
        <w:bottom w:val="none" w:sz="0" w:space="0" w:color="auto"/>
        <w:right w:val="none" w:sz="0" w:space="0" w:color="auto"/>
      </w:divBdr>
    </w:div>
    <w:div w:id="411779125">
      <w:bodyDiv w:val="1"/>
      <w:marLeft w:val="0"/>
      <w:marRight w:val="0"/>
      <w:marTop w:val="0"/>
      <w:marBottom w:val="0"/>
      <w:divBdr>
        <w:top w:val="none" w:sz="0" w:space="0" w:color="auto"/>
        <w:left w:val="none" w:sz="0" w:space="0" w:color="auto"/>
        <w:bottom w:val="none" w:sz="0" w:space="0" w:color="auto"/>
        <w:right w:val="none" w:sz="0" w:space="0" w:color="auto"/>
      </w:divBdr>
    </w:div>
    <w:div w:id="412892131">
      <w:bodyDiv w:val="1"/>
      <w:marLeft w:val="0"/>
      <w:marRight w:val="0"/>
      <w:marTop w:val="0"/>
      <w:marBottom w:val="0"/>
      <w:divBdr>
        <w:top w:val="none" w:sz="0" w:space="0" w:color="auto"/>
        <w:left w:val="none" w:sz="0" w:space="0" w:color="auto"/>
        <w:bottom w:val="none" w:sz="0" w:space="0" w:color="auto"/>
        <w:right w:val="none" w:sz="0" w:space="0" w:color="auto"/>
      </w:divBdr>
    </w:div>
    <w:div w:id="413019090">
      <w:bodyDiv w:val="1"/>
      <w:marLeft w:val="0"/>
      <w:marRight w:val="0"/>
      <w:marTop w:val="0"/>
      <w:marBottom w:val="0"/>
      <w:divBdr>
        <w:top w:val="none" w:sz="0" w:space="0" w:color="auto"/>
        <w:left w:val="none" w:sz="0" w:space="0" w:color="auto"/>
        <w:bottom w:val="none" w:sz="0" w:space="0" w:color="auto"/>
        <w:right w:val="none" w:sz="0" w:space="0" w:color="auto"/>
      </w:divBdr>
    </w:div>
    <w:div w:id="413401682">
      <w:bodyDiv w:val="1"/>
      <w:marLeft w:val="0"/>
      <w:marRight w:val="0"/>
      <w:marTop w:val="0"/>
      <w:marBottom w:val="0"/>
      <w:divBdr>
        <w:top w:val="none" w:sz="0" w:space="0" w:color="auto"/>
        <w:left w:val="none" w:sz="0" w:space="0" w:color="auto"/>
        <w:bottom w:val="none" w:sz="0" w:space="0" w:color="auto"/>
        <w:right w:val="none" w:sz="0" w:space="0" w:color="auto"/>
      </w:divBdr>
    </w:div>
    <w:div w:id="440803770">
      <w:bodyDiv w:val="1"/>
      <w:marLeft w:val="0"/>
      <w:marRight w:val="0"/>
      <w:marTop w:val="0"/>
      <w:marBottom w:val="0"/>
      <w:divBdr>
        <w:top w:val="none" w:sz="0" w:space="0" w:color="auto"/>
        <w:left w:val="none" w:sz="0" w:space="0" w:color="auto"/>
        <w:bottom w:val="none" w:sz="0" w:space="0" w:color="auto"/>
        <w:right w:val="none" w:sz="0" w:space="0" w:color="auto"/>
      </w:divBdr>
    </w:div>
    <w:div w:id="441996998">
      <w:bodyDiv w:val="1"/>
      <w:marLeft w:val="0"/>
      <w:marRight w:val="0"/>
      <w:marTop w:val="0"/>
      <w:marBottom w:val="0"/>
      <w:divBdr>
        <w:top w:val="none" w:sz="0" w:space="0" w:color="auto"/>
        <w:left w:val="none" w:sz="0" w:space="0" w:color="auto"/>
        <w:bottom w:val="none" w:sz="0" w:space="0" w:color="auto"/>
        <w:right w:val="none" w:sz="0" w:space="0" w:color="auto"/>
      </w:divBdr>
    </w:div>
    <w:div w:id="460392353">
      <w:bodyDiv w:val="1"/>
      <w:marLeft w:val="0"/>
      <w:marRight w:val="0"/>
      <w:marTop w:val="0"/>
      <w:marBottom w:val="0"/>
      <w:divBdr>
        <w:top w:val="none" w:sz="0" w:space="0" w:color="auto"/>
        <w:left w:val="none" w:sz="0" w:space="0" w:color="auto"/>
        <w:bottom w:val="none" w:sz="0" w:space="0" w:color="auto"/>
        <w:right w:val="none" w:sz="0" w:space="0" w:color="auto"/>
      </w:divBdr>
    </w:div>
    <w:div w:id="464272132">
      <w:bodyDiv w:val="1"/>
      <w:marLeft w:val="0"/>
      <w:marRight w:val="0"/>
      <w:marTop w:val="0"/>
      <w:marBottom w:val="0"/>
      <w:divBdr>
        <w:top w:val="none" w:sz="0" w:space="0" w:color="auto"/>
        <w:left w:val="none" w:sz="0" w:space="0" w:color="auto"/>
        <w:bottom w:val="none" w:sz="0" w:space="0" w:color="auto"/>
        <w:right w:val="none" w:sz="0" w:space="0" w:color="auto"/>
      </w:divBdr>
    </w:div>
    <w:div w:id="486751074">
      <w:bodyDiv w:val="1"/>
      <w:marLeft w:val="0"/>
      <w:marRight w:val="0"/>
      <w:marTop w:val="0"/>
      <w:marBottom w:val="0"/>
      <w:divBdr>
        <w:top w:val="none" w:sz="0" w:space="0" w:color="auto"/>
        <w:left w:val="none" w:sz="0" w:space="0" w:color="auto"/>
        <w:bottom w:val="none" w:sz="0" w:space="0" w:color="auto"/>
        <w:right w:val="none" w:sz="0" w:space="0" w:color="auto"/>
      </w:divBdr>
    </w:div>
    <w:div w:id="532040116">
      <w:bodyDiv w:val="1"/>
      <w:marLeft w:val="0"/>
      <w:marRight w:val="0"/>
      <w:marTop w:val="0"/>
      <w:marBottom w:val="0"/>
      <w:divBdr>
        <w:top w:val="none" w:sz="0" w:space="0" w:color="auto"/>
        <w:left w:val="none" w:sz="0" w:space="0" w:color="auto"/>
        <w:bottom w:val="none" w:sz="0" w:space="0" w:color="auto"/>
        <w:right w:val="none" w:sz="0" w:space="0" w:color="auto"/>
      </w:divBdr>
    </w:div>
    <w:div w:id="548878091">
      <w:bodyDiv w:val="1"/>
      <w:marLeft w:val="0"/>
      <w:marRight w:val="0"/>
      <w:marTop w:val="0"/>
      <w:marBottom w:val="0"/>
      <w:divBdr>
        <w:top w:val="none" w:sz="0" w:space="0" w:color="auto"/>
        <w:left w:val="none" w:sz="0" w:space="0" w:color="auto"/>
        <w:bottom w:val="none" w:sz="0" w:space="0" w:color="auto"/>
        <w:right w:val="none" w:sz="0" w:space="0" w:color="auto"/>
      </w:divBdr>
    </w:div>
    <w:div w:id="574818951">
      <w:bodyDiv w:val="1"/>
      <w:marLeft w:val="0"/>
      <w:marRight w:val="0"/>
      <w:marTop w:val="0"/>
      <w:marBottom w:val="0"/>
      <w:divBdr>
        <w:top w:val="none" w:sz="0" w:space="0" w:color="auto"/>
        <w:left w:val="none" w:sz="0" w:space="0" w:color="auto"/>
        <w:bottom w:val="none" w:sz="0" w:space="0" w:color="auto"/>
        <w:right w:val="none" w:sz="0" w:space="0" w:color="auto"/>
      </w:divBdr>
    </w:div>
    <w:div w:id="582765646">
      <w:bodyDiv w:val="1"/>
      <w:marLeft w:val="0"/>
      <w:marRight w:val="0"/>
      <w:marTop w:val="0"/>
      <w:marBottom w:val="0"/>
      <w:divBdr>
        <w:top w:val="none" w:sz="0" w:space="0" w:color="auto"/>
        <w:left w:val="none" w:sz="0" w:space="0" w:color="auto"/>
        <w:bottom w:val="none" w:sz="0" w:space="0" w:color="auto"/>
        <w:right w:val="none" w:sz="0" w:space="0" w:color="auto"/>
      </w:divBdr>
    </w:div>
    <w:div w:id="597064028">
      <w:bodyDiv w:val="1"/>
      <w:marLeft w:val="0"/>
      <w:marRight w:val="0"/>
      <w:marTop w:val="0"/>
      <w:marBottom w:val="0"/>
      <w:divBdr>
        <w:top w:val="none" w:sz="0" w:space="0" w:color="auto"/>
        <w:left w:val="none" w:sz="0" w:space="0" w:color="auto"/>
        <w:bottom w:val="none" w:sz="0" w:space="0" w:color="auto"/>
        <w:right w:val="none" w:sz="0" w:space="0" w:color="auto"/>
      </w:divBdr>
    </w:div>
    <w:div w:id="601837537">
      <w:bodyDiv w:val="1"/>
      <w:marLeft w:val="0"/>
      <w:marRight w:val="0"/>
      <w:marTop w:val="0"/>
      <w:marBottom w:val="0"/>
      <w:divBdr>
        <w:top w:val="none" w:sz="0" w:space="0" w:color="auto"/>
        <w:left w:val="none" w:sz="0" w:space="0" w:color="auto"/>
        <w:bottom w:val="none" w:sz="0" w:space="0" w:color="auto"/>
        <w:right w:val="none" w:sz="0" w:space="0" w:color="auto"/>
      </w:divBdr>
    </w:div>
    <w:div w:id="619923557">
      <w:bodyDiv w:val="1"/>
      <w:marLeft w:val="0"/>
      <w:marRight w:val="0"/>
      <w:marTop w:val="0"/>
      <w:marBottom w:val="0"/>
      <w:divBdr>
        <w:top w:val="none" w:sz="0" w:space="0" w:color="auto"/>
        <w:left w:val="none" w:sz="0" w:space="0" w:color="auto"/>
        <w:bottom w:val="none" w:sz="0" w:space="0" w:color="auto"/>
        <w:right w:val="none" w:sz="0" w:space="0" w:color="auto"/>
      </w:divBdr>
    </w:div>
    <w:div w:id="644552221">
      <w:bodyDiv w:val="1"/>
      <w:marLeft w:val="0"/>
      <w:marRight w:val="0"/>
      <w:marTop w:val="0"/>
      <w:marBottom w:val="0"/>
      <w:divBdr>
        <w:top w:val="none" w:sz="0" w:space="0" w:color="auto"/>
        <w:left w:val="none" w:sz="0" w:space="0" w:color="auto"/>
        <w:bottom w:val="none" w:sz="0" w:space="0" w:color="auto"/>
        <w:right w:val="none" w:sz="0" w:space="0" w:color="auto"/>
      </w:divBdr>
    </w:div>
    <w:div w:id="647320254">
      <w:bodyDiv w:val="1"/>
      <w:marLeft w:val="0"/>
      <w:marRight w:val="0"/>
      <w:marTop w:val="0"/>
      <w:marBottom w:val="0"/>
      <w:divBdr>
        <w:top w:val="none" w:sz="0" w:space="0" w:color="auto"/>
        <w:left w:val="none" w:sz="0" w:space="0" w:color="auto"/>
        <w:bottom w:val="none" w:sz="0" w:space="0" w:color="auto"/>
        <w:right w:val="none" w:sz="0" w:space="0" w:color="auto"/>
      </w:divBdr>
    </w:div>
    <w:div w:id="652101015">
      <w:bodyDiv w:val="1"/>
      <w:marLeft w:val="0"/>
      <w:marRight w:val="0"/>
      <w:marTop w:val="0"/>
      <w:marBottom w:val="0"/>
      <w:divBdr>
        <w:top w:val="none" w:sz="0" w:space="0" w:color="auto"/>
        <w:left w:val="none" w:sz="0" w:space="0" w:color="auto"/>
        <w:bottom w:val="none" w:sz="0" w:space="0" w:color="auto"/>
        <w:right w:val="none" w:sz="0" w:space="0" w:color="auto"/>
      </w:divBdr>
    </w:div>
    <w:div w:id="658197745">
      <w:bodyDiv w:val="1"/>
      <w:marLeft w:val="0"/>
      <w:marRight w:val="0"/>
      <w:marTop w:val="0"/>
      <w:marBottom w:val="0"/>
      <w:divBdr>
        <w:top w:val="none" w:sz="0" w:space="0" w:color="auto"/>
        <w:left w:val="none" w:sz="0" w:space="0" w:color="auto"/>
        <w:bottom w:val="none" w:sz="0" w:space="0" w:color="auto"/>
        <w:right w:val="none" w:sz="0" w:space="0" w:color="auto"/>
      </w:divBdr>
    </w:div>
    <w:div w:id="667908355">
      <w:bodyDiv w:val="1"/>
      <w:marLeft w:val="0"/>
      <w:marRight w:val="0"/>
      <w:marTop w:val="0"/>
      <w:marBottom w:val="0"/>
      <w:divBdr>
        <w:top w:val="none" w:sz="0" w:space="0" w:color="auto"/>
        <w:left w:val="none" w:sz="0" w:space="0" w:color="auto"/>
        <w:bottom w:val="none" w:sz="0" w:space="0" w:color="auto"/>
        <w:right w:val="none" w:sz="0" w:space="0" w:color="auto"/>
      </w:divBdr>
    </w:div>
    <w:div w:id="683291630">
      <w:bodyDiv w:val="1"/>
      <w:marLeft w:val="0"/>
      <w:marRight w:val="0"/>
      <w:marTop w:val="0"/>
      <w:marBottom w:val="0"/>
      <w:divBdr>
        <w:top w:val="none" w:sz="0" w:space="0" w:color="auto"/>
        <w:left w:val="none" w:sz="0" w:space="0" w:color="auto"/>
        <w:bottom w:val="none" w:sz="0" w:space="0" w:color="auto"/>
        <w:right w:val="none" w:sz="0" w:space="0" w:color="auto"/>
      </w:divBdr>
    </w:div>
    <w:div w:id="695884611">
      <w:bodyDiv w:val="1"/>
      <w:marLeft w:val="0"/>
      <w:marRight w:val="0"/>
      <w:marTop w:val="0"/>
      <w:marBottom w:val="0"/>
      <w:divBdr>
        <w:top w:val="none" w:sz="0" w:space="0" w:color="auto"/>
        <w:left w:val="none" w:sz="0" w:space="0" w:color="auto"/>
        <w:bottom w:val="none" w:sz="0" w:space="0" w:color="auto"/>
        <w:right w:val="none" w:sz="0" w:space="0" w:color="auto"/>
      </w:divBdr>
    </w:div>
    <w:div w:id="703754261">
      <w:bodyDiv w:val="1"/>
      <w:marLeft w:val="0"/>
      <w:marRight w:val="0"/>
      <w:marTop w:val="0"/>
      <w:marBottom w:val="0"/>
      <w:divBdr>
        <w:top w:val="none" w:sz="0" w:space="0" w:color="auto"/>
        <w:left w:val="none" w:sz="0" w:space="0" w:color="auto"/>
        <w:bottom w:val="none" w:sz="0" w:space="0" w:color="auto"/>
        <w:right w:val="none" w:sz="0" w:space="0" w:color="auto"/>
      </w:divBdr>
    </w:div>
    <w:div w:id="710150300">
      <w:bodyDiv w:val="1"/>
      <w:marLeft w:val="0"/>
      <w:marRight w:val="0"/>
      <w:marTop w:val="0"/>
      <w:marBottom w:val="0"/>
      <w:divBdr>
        <w:top w:val="none" w:sz="0" w:space="0" w:color="auto"/>
        <w:left w:val="none" w:sz="0" w:space="0" w:color="auto"/>
        <w:bottom w:val="none" w:sz="0" w:space="0" w:color="auto"/>
        <w:right w:val="none" w:sz="0" w:space="0" w:color="auto"/>
      </w:divBdr>
    </w:div>
    <w:div w:id="728770367">
      <w:bodyDiv w:val="1"/>
      <w:marLeft w:val="0"/>
      <w:marRight w:val="0"/>
      <w:marTop w:val="0"/>
      <w:marBottom w:val="0"/>
      <w:divBdr>
        <w:top w:val="none" w:sz="0" w:space="0" w:color="auto"/>
        <w:left w:val="none" w:sz="0" w:space="0" w:color="auto"/>
        <w:bottom w:val="none" w:sz="0" w:space="0" w:color="auto"/>
        <w:right w:val="none" w:sz="0" w:space="0" w:color="auto"/>
      </w:divBdr>
    </w:div>
    <w:div w:id="730545580">
      <w:bodyDiv w:val="1"/>
      <w:marLeft w:val="0"/>
      <w:marRight w:val="0"/>
      <w:marTop w:val="0"/>
      <w:marBottom w:val="0"/>
      <w:divBdr>
        <w:top w:val="none" w:sz="0" w:space="0" w:color="auto"/>
        <w:left w:val="none" w:sz="0" w:space="0" w:color="auto"/>
        <w:bottom w:val="none" w:sz="0" w:space="0" w:color="auto"/>
        <w:right w:val="none" w:sz="0" w:space="0" w:color="auto"/>
      </w:divBdr>
    </w:div>
    <w:div w:id="746734886">
      <w:bodyDiv w:val="1"/>
      <w:marLeft w:val="0"/>
      <w:marRight w:val="0"/>
      <w:marTop w:val="0"/>
      <w:marBottom w:val="0"/>
      <w:divBdr>
        <w:top w:val="none" w:sz="0" w:space="0" w:color="auto"/>
        <w:left w:val="none" w:sz="0" w:space="0" w:color="auto"/>
        <w:bottom w:val="none" w:sz="0" w:space="0" w:color="auto"/>
        <w:right w:val="none" w:sz="0" w:space="0" w:color="auto"/>
      </w:divBdr>
    </w:div>
    <w:div w:id="760218041">
      <w:bodyDiv w:val="1"/>
      <w:marLeft w:val="0"/>
      <w:marRight w:val="0"/>
      <w:marTop w:val="0"/>
      <w:marBottom w:val="0"/>
      <w:divBdr>
        <w:top w:val="none" w:sz="0" w:space="0" w:color="auto"/>
        <w:left w:val="none" w:sz="0" w:space="0" w:color="auto"/>
        <w:bottom w:val="none" w:sz="0" w:space="0" w:color="auto"/>
        <w:right w:val="none" w:sz="0" w:space="0" w:color="auto"/>
      </w:divBdr>
    </w:div>
    <w:div w:id="781920896">
      <w:bodyDiv w:val="1"/>
      <w:marLeft w:val="0"/>
      <w:marRight w:val="0"/>
      <w:marTop w:val="0"/>
      <w:marBottom w:val="0"/>
      <w:divBdr>
        <w:top w:val="none" w:sz="0" w:space="0" w:color="auto"/>
        <w:left w:val="none" w:sz="0" w:space="0" w:color="auto"/>
        <w:bottom w:val="none" w:sz="0" w:space="0" w:color="auto"/>
        <w:right w:val="none" w:sz="0" w:space="0" w:color="auto"/>
      </w:divBdr>
    </w:div>
    <w:div w:id="792286059">
      <w:bodyDiv w:val="1"/>
      <w:marLeft w:val="0"/>
      <w:marRight w:val="0"/>
      <w:marTop w:val="0"/>
      <w:marBottom w:val="0"/>
      <w:divBdr>
        <w:top w:val="none" w:sz="0" w:space="0" w:color="auto"/>
        <w:left w:val="none" w:sz="0" w:space="0" w:color="auto"/>
        <w:bottom w:val="none" w:sz="0" w:space="0" w:color="auto"/>
        <w:right w:val="none" w:sz="0" w:space="0" w:color="auto"/>
      </w:divBdr>
    </w:div>
    <w:div w:id="799222448">
      <w:bodyDiv w:val="1"/>
      <w:marLeft w:val="0"/>
      <w:marRight w:val="0"/>
      <w:marTop w:val="0"/>
      <w:marBottom w:val="0"/>
      <w:divBdr>
        <w:top w:val="none" w:sz="0" w:space="0" w:color="auto"/>
        <w:left w:val="none" w:sz="0" w:space="0" w:color="auto"/>
        <w:bottom w:val="none" w:sz="0" w:space="0" w:color="auto"/>
        <w:right w:val="none" w:sz="0" w:space="0" w:color="auto"/>
      </w:divBdr>
    </w:div>
    <w:div w:id="815801016">
      <w:bodyDiv w:val="1"/>
      <w:marLeft w:val="0"/>
      <w:marRight w:val="0"/>
      <w:marTop w:val="0"/>
      <w:marBottom w:val="0"/>
      <w:divBdr>
        <w:top w:val="none" w:sz="0" w:space="0" w:color="auto"/>
        <w:left w:val="none" w:sz="0" w:space="0" w:color="auto"/>
        <w:bottom w:val="none" w:sz="0" w:space="0" w:color="auto"/>
        <w:right w:val="none" w:sz="0" w:space="0" w:color="auto"/>
      </w:divBdr>
    </w:div>
    <w:div w:id="830369044">
      <w:bodyDiv w:val="1"/>
      <w:marLeft w:val="0"/>
      <w:marRight w:val="0"/>
      <w:marTop w:val="0"/>
      <w:marBottom w:val="0"/>
      <w:divBdr>
        <w:top w:val="none" w:sz="0" w:space="0" w:color="auto"/>
        <w:left w:val="none" w:sz="0" w:space="0" w:color="auto"/>
        <w:bottom w:val="none" w:sz="0" w:space="0" w:color="auto"/>
        <w:right w:val="none" w:sz="0" w:space="0" w:color="auto"/>
      </w:divBdr>
    </w:div>
    <w:div w:id="831071341">
      <w:bodyDiv w:val="1"/>
      <w:marLeft w:val="0"/>
      <w:marRight w:val="0"/>
      <w:marTop w:val="0"/>
      <w:marBottom w:val="0"/>
      <w:divBdr>
        <w:top w:val="none" w:sz="0" w:space="0" w:color="auto"/>
        <w:left w:val="none" w:sz="0" w:space="0" w:color="auto"/>
        <w:bottom w:val="none" w:sz="0" w:space="0" w:color="auto"/>
        <w:right w:val="none" w:sz="0" w:space="0" w:color="auto"/>
      </w:divBdr>
    </w:div>
    <w:div w:id="838231222">
      <w:bodyDiv w:val="1"/>
      <w:marLeft w:val="0"/>
      <w:marRight w:val="0"/>
      <w:marTop w:val="0"/>
      <w:marBottom w:val="0"/>
      <w:divBdr>
        <w:top w:val="none" w:sz="0" w:space="0" w:color="auto"/>
        <w:left w:val="none" w:sz="0" w:space="0" w:color="auto"/>
        <w:bottom w:val="none" w:sz="0" w:space="0" w:color="auto"/>
        <w:right w:val="none" w:sz="0" w:space="0" w:color="auto"/>
      </w:divBdr>
    </w:div>
    <w:div w:id="839196332">
      <w:bodyDiv w:val="1"/>
      <w:marLeft w:val="0"/>
      <w:marRight w:val="0"/>
      <w:marTop w:val="0"/>
      <w:marBottom w:val="0"/>
      <w:divBdr>
        <w:top w:val="none" w:sz="0" w:space="0" w:color="auto"/>
        <w:left w:val="none" w:sz="0" w:space="0" w:color="auto"/>
        <w:bottom w:val="none" w:sz="0" w:space="0" w:color="auto"/>
        <w:right w:val="none" w:sz="0" w:space="0" w:color="auto"/>
      </w:divBdr>
    </w:div>
    <w:div w:id="841894813">
      <w:bodyDiv w:val="1"/>
      <w:marLeft w:val="0"/>
      <w:marRight w:val="0"/>
      <w:marTop w:val="0"/>
      <w:marBottom w:val="0"/>
      <w:divBdr>
        <w:top w:val="none" w:sz="0" w:space="0" w:color="auto"/>
        <w:left w:val="none" w:sz="0" w:space="0" w:color="auto"/>
        <w:bottom w:val="none" w:sz="0" w:space="0" w:color="auto"/>
        <w:right w:val="none" w:sz="0" w:space="0" w:color="auto"/>
      </w:divBdr>
    </w:div>
    <w:div w:id="865677094">
      <w:bodyDiv w:val="1"/>
      <w:marLeft w:val="0"/>
      <w:marRight w:val="0"/>
      <w:marTop w:val="0"/>
      <w:marBottom w:val="0"/>
      <w:divBdr>
        <w:top w:val="none" w:sz="0" w:space="0" w:color="auto"/>
        <w:left w:val="none" w:sz="0" w:space="0" w:color="auto"/>
        <w:bottom w:val="none" w:sz="0" w:space="0" w:color="auto"/>
        <w:right w:val="none" w:sz="0" w:space="0" w:color="auto"/>
      </w:divBdr>
    </w:div>
    <w:div w:id="873351784">
      <w:bodyDiv w:val="1"/>
      <w:marLeft w:val="0"/>
      <w:marRight w:val="0"/>
      <w:marTop w:val="0"/>
      <w:marBottom w:val="0"/>
      <w:divBdr>
        <w:top w:val="none" w:sz="0" w:space="0" w:color="auto"/>
        <w:left w:val="none" w:sz="0" w:space="0" w:color="auto"/>
        <w:bottom w:val="none" w:sz="0" w:space="0" w:color="auto"/>
        <w:right w:val="none" w:sz="0" w:space="0" w:color="auto"/>
      </w:divBdr>
    </w:div>
    <w:div w:id="898369000">
      <w:bodyDiv w:val="1"/>
      <w:marLeft w:val="0"/>
      <w:marRight w:val="0"/>
      <w:marTop w:val="0"/>
      <w:marBottom w:val="0"/>
      <w:divBdr>
        <w:top w:val="none" w:sz="0" w:space="0" w:color="auto"/>
        <w:left w:val="none" w:sz="0" w:space="0" w:color="auto"/>
        <w:bottom w:val="none" w:sz="0" w:space="0" w:color="auto"/>
        <w:right w:val="none" w:sz="0" w:space="0" w:color="auto"/>
      </w:divBdr>
    </w:div>
    <w:div w:id="936057526">
      <w:bodyDiv w:val="1"/>
      <w:marLeft w:val="0"/>
      <w:marRight w:val="0"/>
      <w:marTop w:val="0"/>
      <w:marBottom w:val="0"/>
      <w:divBdr>
        <w:top w:val="none" w:sz="0" w:space="0" w:color="auto"/>
        <w:left w:val="none" w:sz="0" w:space="0" w:color="auto"/>
        <w:bottom w:val="none" w:sz="0" w:space="0" w:color="auto"/>
        <w:right w:val="none" w:sz="0" w:space="0" w:color="auto"/>
      </w:divBdr>
    </w:div>
    <w:div w:id="940643536">
      <w:bodyDiv w:val="1"/>
      <w:marLeft w:val="0"/>
      <w:marRight w:val="0"/>
      <w:marTop w:val="0"/>
      <w:marBottom w:val="0"/>
      <w:divBdr>
        <w:top w:val="none" w:sz="0" w:space="0" w:color="auto"/>
        <w:left w:val="none" w:sz="0" w:space="0" w:color="auto"/>
        <w:bottom w:val="none" w:sz="0" w:space="0" w:color="auto"/>
        <w:right w:val="none" w:sz="0" w:space="0" w:color="auto"/>
      </w:divBdr>
    </w:div>
    <w:div w:id="965548190">
      <w:bodyDiv w:val="1"/>
      <w:marLeft w:val="0"/>
      <w:marRight w:val="0"/>
      <w:marTop w:val="0"/>
      <w:marBottom w:val="0"/>
      <w:divBdr>
        <w:top w:val="none" w:sz="0" w:space="0" w:color="auto"/>
        <w:left w:val="none" w:sz="0" w:space="0" w:color="auto"/>
        <w:bottom w:val="none" w:sz="0" w:space="0" w:color="auto"/>
        <w:right w:val="none" w:sz="0" w:space="0" w:color="auto"/>
      </w:divBdr>
    </w:div>
    <w:div w:id="972708829">
      <w:bodyDiv w:val="1"/>
      <w:marLeft w:val="0"/>
      <w:marRight w:val="0"/>
      <w:marTop w:val="0"/>
      <w:marBottom w:val="0"/>
      <w:divBdr>
        <w:top w:val="none" w:sz="0" w:space="0" w:color="auto"/>
        <w:left w:val="none" w:sz="0" w:space="0" w:color="auto"/>
        <w:bottom w:val="none" w:sz="0" w:space="0" w:color="auto"/>
        <w:right w:val="none" w:sz="0" w:space="0" w:color="auto"/>
      </w:divBdr>
    </w:div>
    <w:div w:id="975061242">
      <w:bodyDiv w:val="1"/>
      <w:marLeft w:val="0"/>
      <w:marRight w:val="0"/>
      <w:marTop w:val="0"/>
      <w:marBottom w:val="0"/>
      <w:divBdr>
        <w:top w:val="none" w:sz="0" w:space="0" w:color="auto"/>
        <w:left w:val="none" w:sz="0" w:space="0" w:color="auto"/>
        <w:bottom w:val="none" w:sz="0" w:space="0" w:color="auto"/>
        <w:right w:val="none" w:sz="0" w:space="0" w:color="auto"/>
      </w:divBdr>
    </w:div>
    <w:div w:id="980691756">
      <w:bodyDiv w:val="1"/>
      <w:marLeft w:val="0"/>
      <w:marRight w:val="0"/>
      <w:marTop w:val="0"/>
      <w:marBottom w:val="0"/>
      <w:divBdr>
        <w:top w:val="none" w:sz="0" w:space="0" w:color="auto"/>
        <w:left w:val="none" w:sz="0" w:space="0" w:color="auto"/>
        <w:bottom w:val="none" w:sz="0" w:space="0" w:color="auto"/>
        <w:right w:val="none" w:sz="0" w:space="0" w:color="auto"/>
      </w:divBdr>
    </w:div>
    <w:div w:id="981472073">
      <w:bodyDiv w:val="1"/>
      <w:marLeft w:val="0"/>
      <w:marRight w:val="0"/>
      <w:marTop w:val="0"/>
      <w:marBottom w:val="0"/>
      <w:divBdr>
        <w:top w:val="none" w:sz="0" w:space="0" w:color="auto"/>
        <w:left w:val="none" w:sz="0" w:space="0" w:color="auto"/>
        <w:bottom w:val="none" w:sz="0" w:space="0" w:color="auto"/>
        <w:right w:val="none" w:sz="0" w:space="0" w:color="auto"/>
      </w:divBdr>
    </w:div>
    <w:div w:id="1004824962">
      <w:bodyDiv w:val="1"/>
      <w:marLeft w:val="0"/>
      <w:marRight w:val="0"/>
      <w:marTop w:val="0"/>
      <w:marBottom w:val="0"/>
      <w:divBdr>
        <w:top w:val="none" w:sz="0" w:space="0" w:color="auto"/>
        <w:left w:val="none" w:sz="0" w:space="0" w:color="auto"/>
        <w:bottom w:val="none" w:sz="0" w:space="0" w:color="auto"/>
        <w:right w:val="none" w:sz="0" w:space="0" w:color="auto"/>
      </w:divBdr>
    </w:div>
    <w:div w:id="1005088289">
      <w:bodyDiv w:val="1"/>
      <w:marLeft w:val="0"/>
      <w:marRight w:val="0"/>
      <w:marTop w:val="0"/>
      <w:marBottom w:val="0"/>
      <w:divBdr>
        <w:top w:val="none" w:sz="0" w:space="0" w:color="auto"/>
        <w:left w:val="none" w:sz="0" w:space="0" w:color="auto"/>
        <w:bottom w:val="none" w:sz="0" w:space="0" w:color="auto"/>
        <w:right w:val="none" w:sz="0" w:space="0" w:color="auto"/>
      </w:divBdr>
    </w:div>
    <w:div w:id="1006130789">
      <w:bodyDiv w:val="1"/>
      <w:marLeft w:val="0"/>
      <w:marRight w:val="0"/>
      <w:marTop w:val="0"/>
      <w:marBottom w:val="0"/>
      <w:divBdr>
        <w:top w:val="none" w:sz="0" w:space="0" w:color="auto"/>
        <w:left w:val="none" w:sz="0" w:space="0" w:color="auto"/>
        <w:bottom w:val="none" w:sz="0" w:space="0" w:color="auto"/>
        <w:right w:val="none" w:sz="0" w:space="0" w:color="auto"/>
      </w:divBdr>
    </w:div>
    <w:div w:id="1006901987">
      <w:bodyDiv w:val="1"/>
      <w:marLeft w:val="0"/>
      <w:marRight w:val="0"/>
      <w:marTop w:val="0"/>
      <w:marBottom w:val="0"/>
      <w:divBdr>
        <w:top w:val="none" w:sz="0" w:space="0" w:color="auto"/>
        <w:left w:val="none" w:sz="0" w:space="0" w:color="auto"/>
        <w:bottom w:val="none" w:sz="0" w:space="0" w:color="auto"/>
        <w:right w:val="none" w:sz="0" w:space="0" w:color="auto"/>
      </w:divBdr>
    </w:div>
    <w:div w:id="1012420010">
      <w:bodyDiv w:val="1"/>
      <w:marLeft w:val="0"/>
      <w:marRight w:val="0"/>
      <w:marTop w:val="0"/>
      <w:marBottom w:val="0"/>
      <w:divBdr>
        <w:top w:val="none" w:sz="0" w:space="0" w:color="auto"/>
        <w:left w:val="none" w:sz="0" w:space="0" w:color="auto"/>
        <w:bottom w:val="none" w:sz="0" w:space="0" w:color="auto"/>
        <w:right w:val="none" w:sz="0" w:space="0" w:color="auto"/>
      </w:divBdr>
    </w:div>
    <w:div w:id="1017001441">
      <w:bodyDiv w:val="1"/>
      <w:marLeft w:val="0"/>
      <w:marRight w:val="0"/>
      <w:marTop w:val="0"/>
      <w:marBottom w:val="0"/>
      <w:divBdr>
        <w:top w:val="none" w:sz="0" w:space="0" w:color="auto"/>
        <w:left w:val="none" w:sz="0" w:space="0" w:color="auto"/>
        <w:bottom w:val="none" w:sz="0" w:space="0" w:color="auto"/>
        <w:right w:val="none" w:sz="0" w:space="0" w:color="auto"/>
      </w:divBdr>
    </w:div>
    <w:div w:id="1059592055">
      <w:bodyDiv w:val="1"/>
      <w:marLeft w:val="0"/>
      <w:marRight w:val="0"/>
      <w:marTop w:val="0"/>
      <w:marBottom w:val="0"/>
      <w:divBdr>
        <w:top w:val="none" w:sz="0" w:space="0" w:color="auto"/>
        <w:left w:val="none" w:sz="0" w:space="0" w:color="auto"/>
        <w:bottom w:val="none" w:sz="0" w:space="0" w:color="auto"/>
        <w:right w:val="none" w:sz="0" w:space="0" w:color="auto"/>
      </w:divBdr>
    </w:div>
    <w:div w:id="1063523961">
      <w:bodyDiv w:val="1"/>
      <w:marLeft w:val="0"/>
      <w:marRight w:val="0"/>
      <w:marTop w:val="0"/>
      <w:marBottom w:val="0"/>
      <w:divBdr>
        <w:top w:val="none" w:sz="0" w:space="0" w:color="auto"/>
        <w:left w:val="none" w:sz="0" w:space="0" w:color="auto"/>
        <w:bottom w:val="none" w:sz="0" w:space="0" w:color="auto"/>
        <w:right w:val="none" w:sz="0" w:space="0" w:color="auto"/>
      </w:divBdr>
    </w:div>
    <w:div w:id="1067072634">
      <w:bodyDiv w:val="1"/>
      <w:marLeft w:val="0"/>
      <w:marRight w:val="0"/>
      <w:marTop w:val="0"/>
      <w:marBottom w:val="0"/>
      <w:divBdr>
        <w:top w:val="none" w:sz="0" w:space="0" w:color="auto"/>
        <w:left w:val="none" w:sz="0" w:space="0" w:color="auto"/>
        <w:bottom w:val="none" w:sz="0" w:space="0" w:color="auto"/>
        <w:right w:val="none" w:sz="0" w:space="0" w:color="auto"/>
      </w:divBdr>
    </w:div>
    <w:div w:id="1070082388">
      <w:bodyDiv w:val="1"/>
      <w:marLeft w:val="0"/>
      <w:marRight w:val="0"/>
      <w:marTop w:val="0"/>
      <w:marBottom w:val="0"/>
      <w:divBdr>
        <w:top w:val="none" w:sz="0" w:space="0" w:color="auto"/>
        <w:left w:val="none" w:sz="0" w:space="0" w:color="auto"/>
        <w:bottom w:val="none" w:sz="0" w:space="0" w:color="auto"/>
        <w:right w:val="none" w:sz="0" w:space="0" w:color="auto"/>
      </w:divBdr>
    </w:div>
    <w:div w:id="1084256657">
      <w:bodyDiv w:val="1"/>
      <w:marLeft w:val="0"/>
      <w:marRight w:val="0"/>
      <w:marTop w:val="0"/>
      <w:marBottom w:val="0"/>
      <w:divBdr>
        <w:top w:val="none" w:sz="0" w:space="0" w:color="auto"/>
        <w:left w:val="none" w:sz="0" w:space="0" w:color="auto"/>
        <w:bottom w:val="none" w:sz="0" w:space="0" w:color="auto"/>
        <w:right w:val="none" w:sz="0" w:space="0" w:color="auto"/>
      </w:divBdr>
    </w:div>
    <w:div w:id="1097407424">
      <w:bodyDiv w:val="1"/>
      <w:marLeft w:val="0"/>
      <w:marRight w:val="0"/>
      <w:marTop w:val="0"/>
      <w:marBottom w:val="0"/>
      <w:divBdr>
        <w:top w:val="none" w:sz="0" w:space="0" w:color="auto"/>
        <w:left w:val="none" w:sz="0" w:space="0" w:color="auto"/>
        <w:bottom w:val="none" w:sz="0" w:space="0" w:color="auto"/>
        <w:right w:val="none" w:sz="0" w:space="0" w:color="auto"/>
      </w:divBdr>
    </w:div>
    <w:div w:id="1122386315">
      <w:bodyDiv w:val="1"/>
      <w:marLeft w:val="0"/>
      <w:marRight w:val="0"/>
      <w:marTop w:val="0"/>
      <w:marBottom w:val="0"/>
      <w:divBdr>
        <w:top w:val="none" w:sz="0" w:space="0" w:color="auto"/>
        <w:left w:val="none" w:sz="0" w:space="0" w:color="auto"/>
        <w:bottom w:val="none" w:sz="0" w:space="0" w:color="auto"/>
        <w:right w:val="none" w:sz="0" w:space="0" w:color="auto"/>
      </w:divBdr>
    </w:div>
    <w:div w:id="1139689095">
      <w:bodyDiv w:val="1"/>
      <w:marLeft w:val="0"/>
      <w:marRight w:val="0"/>
      <w:marTop w:val="0"/>
      <w:marBottom w:val="0"/>
      <w:divBdr>
        <w:top w:val="none" w:sz="0" w:space="0" w:color="auto"/>
        <w:left w:val="none" w:sz="0" w:space="0" w:color="auto"/>
        <w:bottom w:val="none" w:sz="0" w:space="0" w:color="auto"/>
        <w:right w:val="none" w:sz="0" w:space="0" w:color="auto"/>
      </w:divBdr>
    </w:div>
    <w:div w:id="1158152406">
      <w:bodyDiv w:val="1"/>
      <w:marLeft w:val="0"/>
      <w:marRight w:val="0"/>
      <w:marTop w:val="0"/>
      <w:marBottom w:val="0"/>
      <w:divBdr>
        <w:top w:val="none" w:sz="0" w:space="0" w:color="auto"/>
        <w:left w:val="none" w:sz="0" w:space="0" w:color="auto"/>
        <w:bottom w:val="none" w:sz="0" w:space="0" w:color="auto"/>
        <w:right w:val="none" w:sz="0" w:space="0" w:color="auto"/>
      </w:divBdr>
    </w:div>
    <w:div w:id="1168250284">
      <w:bodyDiv w:val="1"/>
      <w:marLeft w:val="0"/>
      <w:marRight w:val="0"/>
      <w:marTop w:val="0"/>
      <w:marBottom w:val="0"/>
      <w:divBdr>
        <w:top w:val="none" w:sz="0" w:space="0" w:color="auto"/>
        <w:left w:val="none" w:sz="0" w:space="0" w:color="auto"/>
        <w:bottom w:val="none" w:sz="0" w:space="0" w:color="auto"/>
        <w:right w:val="none" w:sz="0" w:space="0" w:color="auto"/>
      </w:divBdr>
    </w:div>
    <w:div w:id="1169829313">
      <w:bodyDiv w:val="1"/>
      <w:marLeft w:val="0"/>
      <w:marRight w:val="0"/>
      <w:marTop w:val="0"/>
      <w:marBottom w:val="0"/>
      <w:divBdr>
        <w:top w:val="none" w:sz="0" w:space="0" w:color="auto"/>
        <w:left w:val="none" w:sz="0" w:space="0" w:color="auto"/>
        <w:bottom w:val="none" w:sz="0" w:space="0" w:color="auto"/>
        <w:right w:val="none" w:sz="0" w:space="0" w:color="auto"/>
      </w:divBdr>
    </w:div>
    <w:div w:id="1173951261">
      <w:bodyDiv w:val="1"/>
      <w:marLeft w:val="0"/>
      <w:marRight w:val="0"/>
      <w:marTop w:val="0"/>
      <w:marBottom w:val="0"/>
      <w:divBdr>
        <w:top w:val="none" w:sz="0" w:space="0" w:color="auto"/>
        <w:left w:val="none" w:sz="0" w:space="0" w:color="auto"/>
        <w:bottom w:val="none" w:sz="0" w:space="0" w:color="auto"/>
        <w:right w:val="none" w:sz="0" w:space="0" w:color="auto"/>
      </w:divBdr>
    </w:div>
    <w:div w:id="1199318341">
      <w:bodyDiv w:val="1"/>
      <w:marLeft w:val="0"/>
      <w:marRight w:val="0"/>
      <w:marTop w:val="0"/>
      <w:marBottom w:val="0"/>
      <w:divBdr>
        <w:top w:val="none" w:sz="0" w:space="0" w:color="auto"/>
        <w:left w:val="none" w:sz="0" w:space="0" w:color="auto"/>
        <w:bottom w:val="none" w:sz="0" w:space="0" w:color="auto"/>
        <w:right w:val="none" w:sz="0" w:space="0" w:color="auto"/>
      </w:divBdr>
    </w:div>
    <w:div w:id="1211844548">
      <w:bodyDiv w:val="1"/>
      <w:marLeft w:val="0"/>
      <w:marRight w:val="0"/>
      <w:marTop w:val="0"/>
      <w:marBottom w:val="0"/>
      <w:divBdr>
        <w:top w:val="none" w:sz="0" w:space="0" w:color="auto"/>
        <w:left w:val="none" w:sz="0" w:space="0" w:color="auto"/>
        <w:bottom w:val="none" w:sz="0" w:space="0" w:color="auto"/>
        <w:right w:val="none" w:sz="0" w:space="0" w:color="auto"/>
      </w:divBdr>
    </w:div>
    <w:div w:id="1243568940">
      <w:bodyDiv w:val="1"/>
      <w:marLeft w:val="0"/>
      <w:marRight w:val="0"/>
      <w:marTop w:val="0"/>
      <w:marBottom w:val="0"/>
      <w:divBdr>
        <w:top w:val="none" w:sz="0" w:space="0" w:color="auto"/>
        <w:left w:val="none" w:sz="0" w:space="0" w:color="auto"/>
        <w:bottom w:val="none" w:sz="0" w:space="0" w:color="auto"/>
        <w:right w:val="none" w:sz="0" w:space="0" w:color="auto"/>
      </w:divBdr>
    </w:div>
    <w:div w:id="1244531683">
      <w:bodyDiv w:val="1"/>
      <w:marLeft w:val="0"/>
      <w:marRight w:val="0"/>
      <w:marTop w:val="0"/>
      <w:marBottom w:val="0"/>
      <w:divBdr>
        <w:top w:val="none" w:sz="0" w:space="0" w:color="auto"/>
        <w:left w:val="none" w:sz="0" w:space="0" w:color="auto"/>
        <w:bottom w:val="none" w:sz="0" w:space="0" w:color="auto"/>
        <w:right w:val="none" w:sz="0" w:space="0" w:color="auto"/>
      </w:divBdr>
    </w:div>
    <w:div w:id="1248926288">
      <w:bodyDiv w:val="1"/>
      <w:marLeft w:val="0"/>
      <w:marRight w:val="0"/>
      <w:marTop w:val="0"/>
      <w:marBottom w:val="0"/>
      <w:divBdr>
        <w:top w:val="none" w:sz="0" w:space="0" w:color="auto"/>
        <w:left w:val="none" w:sz="0" w:space="0" w:color="auto"/>
        <w:bottom w:val="none" w:sz="0" w:space="0" w:color="auto"/>
        <w:right w:val="none" w:sz="0" w:space="0" w:color="auto"/>
      </w:divBdr>
    </w:div>
    <w:div w:id="1256548286">
      <w:bodyDiv w:val="1"/>
      <w:marLeft w:val="0"/>
      <w:marRight w:val="0"/>
      <w:marTop w:val="0"/>
      <w:marBottom w:val="0"/>
      <w:divBdr>
        <w:top w:val="none" w:sz="0" w:space="0" w:color="auto"/>
        <w:left w:val="none" w:sz="0" w:space="0" w:color="auto"/>
        <w:bottom w:val="none" w:sz="0" w:space="0" w:color="auto"/>
        <w:right w:val="none" w:sz="0" w:space="0" w:color="auto"/>
      </w:divBdr>
    </w:div>
    <w:div w:id="1257597895">
      <w:bodyDiv w:val="1"/>
      <w:marLeft w:val="0"/>
      <w:marRight w:val="0"/>
      <w:marTop w:val="0"/>
      <w:marBottom w:val="0"/>
      <w:divBdr>
        <w:top w:val="none" w:sz="0" w:space="0" w:color="auto"/>
        <w:left w:val="none" w:sz="0" w:space="0" w:color="auto"/>
        <w:bottom w:val="none" w:sz="0" w:space="0" w:color="auto"/>
        <w:right w:val="none" w:sz="0" w:space="0" w:color="auto"/>
      </w:divBdr>
    </w:div>
    <w:div w:id="1265378414">
      <w:bodyDiv w:val="1"/>
      <w:marLeft w:val="0"/>
      <w:marRight w:val="0"/>
      <w:marTop w:val="0"/>
      <w:marBottom w:val="0"/>
      <w:divBdr>
        <w:top w:val="none" w:sz="0" w:space="0" w:color="auto"/>
        <w:left w:val="none" w:sz="0" w:space="0" w:color="auto"/>
        <w:bottom w:val="none" w:sz="0" w:space="0" w:color="auto"/>
        <w:right w:val="none" w:sz="0" w:space="0" w:color="auto"/>
      </w:divBdr>
    </w:div>
    <w:div w:id="1265576547">
      <w:bodyDiv w:val="1"/>
      <w:marLeft w:val="0"/>
      <w:marRight w:val="0"/>
      <w:marTop w:val="0"/>
      <w:marBottom w:val="0"/>
      <w:divBdr>
        <w:top w:val="none" w:sz="0" w:space="0" w:color="auto"/>
        <w:left w:val="none" w:sz="0" w:space="0" w:color="auto"/>
        <w:bottom w:val="none" w:sz="0" w:space="0" w:color="auto"/>
        <w:right w:val="none" w:sz="0" w:space="0" w:color="auto"/>
      </w:divBdr>
    </w:div>
    <w:div w:id="1266691721">
      <w:bodyDiv w:val="1"/>
      <w:marLeft w:val="0"/>
      <w:marRight w:val="0"/>
      <w:marTop w:val="0"/>
      <w:marBottom w:val="0"/>
      <w:divBdr>
        <w:top w:val="none" w:sz="0" w:space="0" w:color="auto"/>
        <w:left w:val="none" w:sz="0" w:space="0" w:color="auto"/>
        <w:bottom w:val="none" w:sz="0" w:space="0" w:color="auto"/>
        <w:right w:val="none" w:sz="0" w:space="0" w:color="auto"/>
      </w:divBdr>
    </w:div>
    <w:div w:id="1317077239">
      <w:bodyDiv w:val="1"/>
      <w:marLeft w:val="0"/>
      <w:marRight w:val="0"/>
      <w:marTop w:val="0"/>
      <w:marBottom w:val="0"/>
      <w:divBdr>
        <w:top w:val="none" w:sz="0" w:space="0" w:color="auto"/>
        <w:left w:val="none" w:sz="0" w:space="0" w:color="auto"/>
        <w:bottom w:val="none" w:sz="0" w:space="0" w:color="auto"/>
        <w:right w:val="none" w:sz="0" w:space="0" w:color="auto"/>
      </w:divBdr>
    </w:div>
    <w:div w:id="1334607813">
      <w:bodyDiv w:val="1"/>
      <w:marLeft w:val="0"/>
      <w:marRight w:val="0"/>
      <w:marTop w:val="0"/>
      <w:marBottom w:val="0"/>
      <w:divBdr>
        <w:top w:val="none" w:sz="0" w:space="0" w:color="auto"/>
        <w:left w:val="none" w:sz="0" w:space="0" w:color="auto"/>
        <w:bottom w:val="none" w:sz="0" w:space="0" w:color="auto"/>
        <w:right w:val="none" w:sz="0" w:space="0" w:color="auto"/>
      </w:divBdr>
    </w:div>
    <w:div w:id="1353410901">
      <w:bodyDiv w:val="1"/>
      <w:marLeft w:val="0"/>
      <w:marRight w:val="0"/>
      <w:marTop w:val="0"/>
      <w:marBottom w:val="0"/>
      <w:divBdr>
        <w:top w:val="none" w:sz="0" w:space="0" w:color="auto"/>
        <w:left w:val="none" w:sz="0" w:space="0" w:color="auto"/>
        <w:bottom w:val="none" w:sz="0" w:space="0" w:color="auto"/>
        <w:right w:val="none" w:sz="0" w:space="0" w:color="auto"/>
      </w:divBdr>
    </w:div>
    <w:div w:id="1363019351">
      <w:bodyDiv w:val="1"/>
      <w:marLeft w:val="0"/>
      <w:marRight w:val="0"/>
      <w:marTop w:val="0"/>
      <w:marBottom w:val="0"/>
      <w:divBdr>
        <w:top w:val="none" w:sz="0" w:space="0" w:color="auto"/>
        <w:left w:val="none" w:sz="0" w:space="0" w:color="auto"/>
        <w:bottom w:val="none" w:sz="0" w:space="0" w:color="auto"/>
        <w:right w:val="none" w:sz="0" w:space="0" w:color="auto"/>
      </w:divBdr>
    </w:div>
    <w:div w:id="1364403549">
      <w:bodyDiv w:val="1"/>
      <w:marLeft w:val="0"/>
      <w:marRight w:val="0"/>
      <w:marTop w:val="0"/>
      <w:marBottom w:val="0"/>
      <w:divBdr>
        <w:top w:val="none" w:sz="0" w:space="0" w:color="auto"/>
        <w:left w:val="none" w:sz="0" w:space="0" w:color="auto"/>
        <w:bottom w:val="none" w:sz="0" w:space="0" w:color="auto"/>
        <w:right w:val="none" w:sz="0" w:space="0" w:color="auto"/>
      </w:divBdr>
    </w:div>
    <w:div w:id="1370912369">
      <w:bodyDiv w:val="1"/>
      <w:marLeft w:val="0"/>
      <w:marRight w:val="0"/>
      <w:marTop w:val="0"/>
      <w:marBottom w:val="0"/>
      <w:divBdr>
        <w:top w:val="none" w:sz="0" w:space="0" w:color="auto"/>
        <w:left w:val="none" w:sz="0" w:space="0" w:color="auto"/>
        <w:bottom w:val="none" w:sz="0" w:space="0" w:color="auto"/>
        <w:right w:val="none" w:sz="0" w:space="0" w:color="auto"/>
      </w:divBdr>
    </w:div>
    <w:div w:id="1398017257">
      <w:bodyDiv w:val="1"/>
      <w:marLeft w:val="0"/>
      <w:marRight w:val="0"/>
      <w:marTop w:val="0"/>
      <w:marBottom w:val="0"/>
      <w:divBdr>
        <w:top w:val="none" w:sz="0" w:space="0" w:color="auto"/>
        <w:left w:val="none" w:sz="0" w:space="0" w:color="auto"/>
        <w:bottom w:val="none" w:sz="0" w:space="0" w:color="auto"/>
        <w:right w:val="none" w:sz="0" w:space="0" w:color="auto"/>
      </w:divBdr>
    </w:div>
    <w:div w:id="1404183375">
      <w:bodyDiv w:val="1"/>
      <w:marLeft w:val="0"/>
      <w:marRight w:val="0"/>
      <w:marTop w:val="0"/>
      <w:marBottom w:val="0"/>
      <w:divBdr>
        <w:top w:val="none" w:sz="0" w:space="0" w:color="auto"/>
        <w:left w:val="none" w:sz="0" w:space="0" w:color="auto"/>
        <w:bottom w:val="none" w:sz="0" w:space="0" w:color="auto"/>
        <w:right w:val="none" w:sz="0" w:space="0" w:color="auto"/>
      </w:divBdr>
    </w:div>
    <w:div w:id="1414624018">
      <w:bodyDiv w:val="1"/>
      <w:marLeft w:val="0"/>
      <w:marRight w:val="0"/>
      <w:marTop w:val="0"/>
      <w:marBottom w:val="0"/>
      <w:divBdr>
        <w:top w:val="none" w:sz="0" w:space="0" w:color="auto"/>
        <w:left w:val="none" w:sz="0" w:space="0" w:color="auto"/>
        <w:bottom w:val="none" w:sz="0" w:space="0" w:color="auto"/>
        <w:right w:val="none" w:sz="0" w:space="0" w:color="auto"/>
      </w:divBdr>
    </w:div>
    <w:div w:id="1422874241">
      <w:bodyDiv w:val="1"/>
      <w:marLeft w:val="0"/>
      <w:marRight w:val="0"/>
      <w:marTop w:val="0"/>
      <w:marBottom w:val="0"/>
      <w:divBdr>
        <w:top w:val="none" w:sz="0" w:space="0" w:color="auto"/>
        <w:left w:val="none" w:sz="0" w:space="0" w:color="auto"/>
        <w:bottom w:val="none" w:sz="0" w:space="0" w:color="auto"/>
        <w:right w:val="none" w:sz="0" w:space="0" w:color="auto"/>
      </w:divBdr>
    </w:div>
    <w:div w:id="1451164667">
      <w:bodyDiv w:val="1"/>
      <w:marLeft w:val="0"/>
      <w:marRight w:val="0"/>
      <w:marTop w:val="0"/>
      <w:marBottom w:val="0"/>
      <w:divBdr>
        <w:top w:val="none" w:sz="0" w:space="0" w:color="auto"/>
        <w:left w:val="none" w:sz="0" w:space="0" w:color="auto"/>
        <w:bottom w:val="none" w:sz="0" w:space="0" w:color="auto"/>
        <w:right w:val="none" w:sz="0" w:space="0" w:color="auto"/>
      </w:divBdr>
    </w:div>
    <w:div w:id="1451625165">
      <w:bodyDiv w:val="1"/>
      <w:marLeft w:val="0"/>
      <w:marRight w:val="0"/>
      <w:marTop w:val="0"/>
      <w:marBottom w:val="0"/>
      <w:divBdr>
        <w:top w:val="none" w:sz="0" w:space="0" w:color="auto"/>
        <w:left w:val="none" w:sz="0" w:space="0" w:color="auto"/>
        <w:bottom w:val="none" w:sz="0" w:space="0" w:color="auto"/>
        <w:right w:val="none" w:sz="0" w:space="0" w:color="auto"/>
      </w:divBdr>
    </w:div>
    <w:div w:id="1452019521">
      <w:bodyDiv w:val="1"/>
      <w:marLeft w:val="0"/>
      <w:marRight w:val="0"/>
      <w:marTop w:val="0"/>
      <w:marBottom w:val="0"/>
      <w:divBdr>
        <w:top w:val="none" w:sz="0" w:space="0" w:color="auto"/>
        <w:left w:val="none" w:sz="0" w:space="0" w:color="auto"/>
        <w:bottom w:val="none" w:sz="0" w:space="0" w:color="auto"/>
        <w:right w:val="none" w:sz="0" w:space="0" w:color="auto"/>
      </w:divBdr>
    </w:div>
    <w:div w:id="1454204414">
      <w:bodyDiv w:val="1"/>
      <w:marLeft w:val="0"/>
      <w:marRight w:val="0"/>
      <w:marTop w:val="0"/>
      <w:marBottom w:val="0"/>
      <w:divBdr>
        <w:top w:val="none" w:sz="0" w:space="0" w:color="auto"/>
        <w:left w:val="none" w:sz="0" w:space="0" w:color="auto"/>
        <w:bottom w:val="none" w:sz="0" w:space="0" w:color="auto"/>
        <w:right w:val="none" w:sz="0" w:space="0" w:color="auto"/>
      </w:divBdr>
    </w:div>
    <w:div w:id="1464541278">
      <w:bodyDiv w:val="1"/>
      <w:marLeft w:val="0"/>
      <w:marRight w:val="0"/>
      <w:marTop w:val="0"/>
      <w:marBottom w:val="0"/>
      <w:divBdr>
        <w:top w:val="none" w:sz="0" w:space="0" w:color="auto"/>
        <w:left w:val="none" w:sz="0" w:space="0" w:color="auto"/>
        <w:bottom w:val="none" w:sz="0" w:space="0" w:color="auto"/>
        <w:right w:val="none" w:sz="0" w:space="0" w:color="auto"/>
      </w:divBdr>
    </w:div>
    <w:div w:id="1469323007">
      <w:bodyDiv w:val="1"/>
      <w:marLeft w:val="0"/>
      <w:marRight w:val="0"/>
      <w:marTop w:val="0"/>
      <w:marBottom w:val="0"/>
      <w:divBdr>
        <w:top w:val="none" w:sz="0" w:space="0" w:color="auto"/>
        <w:left w:val="none" w:sz="0" w:space="0" w:color="auto"/>
        <w:bottom w:val="none" w:sz="0" w:space="0" w:color="auto"/>
        <w:right w:val="none" w:sz="0" w:space="0" w:color="auto"/>
      </w:divBdr>
    </w:div>
    <w:div w:id="1489400691">
      <w:bodyDiv w:val="1"/>
      <w:marLeft w:val="0"/>
      <w:marRight w:val="0"/>
      <w:marTop w:val="0"/>
      <w:marBottom w:val="0"/>
      <w:divBdr>
        <w:top w:val="none" w:sz="0" w:space="0" w:color="auto"/>
        <w:left w:val="none" w:sz="0" w:space="0" w:color="auto"/>
        <w:bottom w:val="none" w:sz="0" w:space="0" w:color="auto"/>
        <w:right w:val="none" w:sz="0" w:space="0" w:color="auto"/>
      </w:divBdr>
    </w:div>
    <w:div w:id="1510218781">
      <w:bodyDiv w:val="1"/>
      <w:marLeft w:val="0"/>
      <w:marRight w:val="0"/>
      <w:marTop w:val="0"/>
      <w:marBottom w:val="0"/>
      <w:divBdr>
        <w:top w:val="none" w:sz="0" w:space="0" w:color="auto"/>
        <w:left w:val="none" w:sz="0" w:space="0" w:color="auto"/>
        <w:bottom w:val="none" w:sz="0" w:space="0" w:color="auto"/>
        <w:right w:val="none" w:sz="0" w:space="0" w:color="auto"/>
      </w:divBdr>
    </w:div>
    <w:div w:id="1529249479">
      <w:bodyDiv w:val="1"/>
      <w:marLeft w:val="0"/>
      <w:marRight w:val="0"/>
      <w:marTop w:val="0"/>
      <w:marBottom w:val="0"/>
      <w:divBdr>
        <w:top w:val="none" w:sz="0" w:space="0" w:color="auto"/>
        <w:left w:val="none" w:sz="0" w:space="0" w:color="auto"/>
        <w:bottom w:val="none" w:sz="0" w:space="0" w:color="auto"/>
        <w:right w:val="none" w:sz="0" w:space="0" w:color="auto"/>
      </w:divBdr>
    </w:div>
    <w:div w:id="1535650621">
      <w:bodyDiv w:val="1"/>
      <w:marLeft w:val="0"/>
      <w:marRight w:val="0"/>
      <w:marTop w:val="0"/>
      <w:marBottom w:val="0"/>
      <w:divBdr>
        <w:top w:val="none" w:sz="0" w:space="0" w:color="auto"/>
        <w:left w:val="none" w:sz="0" w:space="0" w:color="auto"/>
        <w:bottom w:val="none" w:sz="0" w:space="0" w:color="auto"/>
        <w:right w:val="none" w:sz="0" w:space="0" w:color="auto"/>
      </w:divBdr>
    </w:div>
    <w:div w:id="1538086272">
      <w:bodyDiv w:val="1"/>
      <w:marLeft w:val="0"/>
      <w:marRight w:val="0"/>
      <w:marTop w:val="0"/>
      <w:marBottom w:val="0"/>
      <w:divBdr>
        <w:top w:val="none" w:sz="0" w:space="0" w:color="auto"/>
        <w:left w:val="none" w:sz="0" w:space="0" w:color="auto"/>
        <w:bottom w:val="none" w:sz="0" w:space="0" w:color="auto"/>
        <w:right w:val="none" w:sz="0" w:space="0" w:color="auto"/>
      </w:divBdr>
    </w:div>
    <w:div w:id="1544369385">
      <w:bodyDiv w:val="1"/>
      <w:marLeft w:val="0"/>
      <w:marRight w:val="0"/>
      <w:marTop w:val="0"/>
      <w:marBottom w:val="0"/>
      <w:divBdr>
        <w:top w:val="none" w:sz="0" w:space="0" w:color="auto"/>
        <w:left w:val="none" w:sz="0" w:space="0" w:color="auto"/>
        <w:bottom w:val="none" w:sz="0" w:space="0" w:color="auto"/>
        <w:right w:val="none" w:sz="0" w:space="0" w:color="auto"/>
      </w:divBdr>
    </w:div>
    <w:div w:id="1550535799">
      <w:bodyDiv w:val="1"/>
      <w:marLeft w:val="0"/>
      <w:marRight w:val="0"/>
      <w:marTop w:val="0"/>
      <w:marBottom w:val="0"/>
      <w:divBdr>
        <w:top w:val="none" w:sz="0" w:space="0" w:color="auto"/>
        <w:left w:val="none" w:sz="0" w:space="0" w:color="auto"/>
        <w:bottom w:val="none" w:sz="0" w:space="0" w:color="auto"/>
        <w:right w:val="none" w:sz="0" w:space="0" w:color="auto"/>
      </w:divBdr>
    </w:div>
    <w:div w:id="1568034224">
      <w:bodyDiv w:val="1"/>
      <w:marLeft w:val="0"/>
      <w:marRight w:val="0"/>
      <w:marTop w:val="0"/>
      <w:marBottom w:val="0"/>
      <w:divBdr>
        <w:top w:val="none" w:sz="0" w:space="0" w:color="auto"/>
        <w:left w:val="none" w:sz="0" w:space="0" w:color="auto"/>
        <w:bottom w:val="none" w:sz="0" w:space="0" w:color="auto"/>
        <w:right w:val="none" w:sz="0" w:space="0" w:color="auto"/>
      </w:divBdr>
    </w:div>
    <w:div w:id="1572498036">
      <w:bodyDiv w:val="1"/>
      <w:marLeft w:val="0"/>
      <w:marRight w:val="0"/>
      <w:marTop w:val="0"/>
      <w:marBottom w:val="0"/>
      <w:divBdr>
        <w:top w:val="none" w:sz="0" w:space="0" w:color="auto"/>
        <w:left w:val="none" w:sz="0" w:space="0" w:color="auto"/>
        <w:bottom w:val="none" w:sz="0" w:space="0" w:color="auto"/>
        <w:right w:val="none" w:sz="0" w:space="0" w:color="auto"/>
      </w:divBdr>
    </w:div>
    <w:div w:id="1582790669">
      <w:bodyDiv w:val="1"/>
      <w:marLeft w:val="0"/>
      <w:marRight w:val="0"/>
      <w:marTop w:val="0"/>
      <w:marBottom w:val="0"/>
      <w:divBdr>
        <w:top w:val="none" w:sz="0" w:space="0" w:color="auto"/>
        <w:left w:val="none" w:sz="0" w:space="0" w:color="auto"/>
        <w:bottom w:val="none" w:sz="0" w:space="0" w:color="auto"/>
        <w:right w:val="none" w:sz="0" w:space="0" w:color="auto"/>
      </w:divBdr>
    </w:div>
    <w:div w:id="1583292736">
      <w:bodyDiv w:val="1"/>
      <w:marLeft w:val="0"/>
      <w:marRight w:val="0"/>
      <w:marTop w:val="0"/>
      <w:marBottom w:val="0"/>
      <w:divBdr>
        <w:top w:val="none" w:sz="0" w:space="0" w:color="auto"/>
        <w:left w:val="none" w:sz="0" w:space="0" w:color="auto"/>
        <w:bottom w:val="none" w:sz="0" w:space="0" w:color="auto"/>
        <w:right w:val="none" w:sz="0" w:space="0" w:color="auto"/>
      </w:divBdr>
    </w:div>
    <w:div w:id="1586302160">
      <w:bodyDiv w:val="1"/>
      <w:marLeft w:val="0"/>
      <w:marRight w:val="0"/>
      <w:marTop w:val="0"/>
      <w:marBottom w:val="0"/>
      <w:divBdr>
        <w:top w:val="none" w:sz="0" w:space="0" w:color="auto"/>
        <w:left w:val="none" w:sz="0" w:space="0" w:color="auto"/>
        <w:bottom w:val="none" w:sz="0" w:space="0" w:color="auto"/>
        <w:right w:val="none" w:sz="0" w:space="0" w:color="auto"/>
      </w:divBdr>
    </w:div>
    <w:div w:id="1602295387">
      <w:bodyDiv w:val="1"/>
      <w:marLeft w:val="0"/>
      <w:marRight w:val="0"/>
      <w:marTop w:val="0"/>
      <w:marBottom w:val="0"/>
      <w:divBdr>
        <w:top w:val="none" w:sz="0" w:space="0" w:color="auto"/>
        <w:left w:val="none" w:sz="0" w:space="0" w:color="auto"/>
        <w:bottom w:val="none" w:sz="0" w:space="0" w:color="auto"/>
        <w:right w:val="none" w:sz="0" w:space="0" w:color="auto"/>
      </w:divBdr>
    </w:div>
    <w:div w:id="1603219656">
      <w:bodyDiv w:val="1"/>
      <w:marLeft w:val="0"/>
      <w:marRight w:val="0"/>
      <w:marTop w:val="0"/>
      <w:marBottom w:val="0"/>
      <w:divBdr>
        <w:top w:val="none" w:sz="0" w:space="0" w:color="auto"/>
        <w:left w:val="none" w:sz="0" w:space="0" w:color="auto"/>
        <w:bottom w:val="none" w:sz="0" w:space="0" w:color="auto"/>
        <w:right w:val="none" w:sz="0" w:space="0" w:color="auto"/>
      </w:divBdr>
    </w:div>
    <w:div w:id="1605308839">
      <w:bodyDiv w:val="1"/>
      <w:marLeft w:val="0"/>
      <w:marRight w:val="0"/>
      <w:marTop w:val="0"/>
      <w:marBottom w:val="0"/>
      <w:divBdr>
        <w:top w:val="none" w:sz="0" w:space="0" w:color="auto"/>
        <w:left w:val="none" w:sz="0" w:space="0" w:color="auto"/>
        <w:bottom w:val="none" w:sz="0" w:space="0" w:color="auto"/>
        <w:right w:val="none" w:sz="0" w:space="0" w:color="auto"/>
      </w:divBdr>
    </w:div>
    <w:div w:id="1621840173">
      <w:bodyDiv w:val="1"/>
      <w:marLeft w:val="0"/>
      <w:marRight w:val="0"/>
      <w:marTop w:val="0"/>
      <w:marBottom w:val="0"/>
      <w:divBdr>
        <w:top w:val="none" w:sz="0" w:space="0" w:color="auto"/>
        <w:left w:val="none" w:sz="0" w:space="0" w:color="auto"/>
        <w:bottom w:val="none" w:sz="0" w:space="0" w:color="auto"/>
        <w:right w:val="none" w:sz="0" w:space="0" w:color="auto"/>
      </w:divBdr>
    </w:div>
    <w:div w:id="1630159142">
      <w:bodyDiv w:val="1"/>
      <w:marLeft w:val="0"/>
      <w:marRight w:val="0"/>
      <w:marTop w:val="0"/>
      <w:marBottom w:val="0"/>
      <w:divBdr>
        <w:top w:val="none" w:sz="0" w:space="0" w:color="auto"/>
        <w:left w:val="none" w:sz="0" w:space="0" w:color="auto"/>
        <w:bottom w:val="none" w:sz="0" w:space="0" w:color="auto"/>
        <w:right w:val="none" w:sz="0" w:space="0" w:color="auto"/>
      </w:divBdr>
    </w:div>
    <w:div w:id="1640764966">
      <w:bodyDiv w:val="1"/>
      <w:marLeft w:val="0"/>
      <w:marRight w:val="0"/>
      <w:marTop w:val="0"/>
      <w:marBottom w:val="0"/>
      <w:divBdr>
        <w:top w:val="none" w:sz="0" w:space="0" w:color="auto"/>
        <w:left w:val="none" w:sz="0" w:space="0" w:color="auto"/>
        <w:bottom w:val="none" w:sz="0" w:space="0" w:color="auto"/>
        <w:right w:val="none" w:sz="0" w:space="0" w:color="auto"/>
      </w:divBdr>
    </w:div>
    <w:div w:id="1640917089">
      <w:bodyDiv w:val="1"/>
      <w:marLeft w:val="0"/>
      <w:marRight w:val="0"/>
      <w:marTop w:val="0"/>
      <w:marBottom w:val="0"/>
      <w:divBdr>
        <w:top w:val="none" w:sz="0" w:space="0" w:color="auto"/>
        <w:left w:val="none" w:sz="0" w:space="0" w:color="auto"/>
        <w:bottom w:val="none" w:sz="0" w:space="0" w:color="auto"/>
        <w:right w:val="none" w:sz="0" w:space="0" w:color="auto"/>
      </w:divBdr>
    </w:div>
    <w:div w:id="1650402868">
      <w:bodyDiv w:val="1"/>
      <w:marLeft w:val="0"/>
      <w:marRight w:val="0"/>
      <w:marTop w:val="0"/>
      <w:marBottom w:val="0"/>
      <w:divBdr>
        <w:top w:val="none" w:sz="0" w:space="0" w:color="auto"/>
        <w:left w:val="none" w:sz="0" w:space="0" w:color="auto"/>
        <w:bottom w:val="none" w:sz="0" w:space="0" w:color="auto"/>
        <w:right w:val="none" w:sz="0" w:space="0" w:color="auto"/>
      </w:divBdr>
    </w:div>
    <w:div w:id="1658923892">
      <w:bodyDiv w:val="1"/>
      <w:marLeft w:val="0"/>
      <w:marRight w:val="0"/>
      <w:marTop w:val="0"/>
      <w:marBottom w:val="0"/>
      <w:divBdr>
        <w:top w:val="none" w:sz="0" w:space="0" w:color="auto"/>
        <w:left w:val="none" w:sz="0" w:space="0" w:color="auto"/>
        <w:bottom w:val="none" w:sz="0" w:space="0" w:color="auto"/>
        <w:right w:val="none" w:sz="0" w:space="0" w:color="auto"/>
      </w:divBdr>
    </w:div>
    <w:div w:id="1662733883">
      <w:bodyDiv w:val="1"/>
      <w:marLeft w:val="0"/>
      <w:marRight w:val="0"/>
      <w:marTop w:val="0"/>
      <w:marBottom w:val="0"/>
      <w:divBdr>
        <w:top w:val="none" w:sz="0" w:space="0" w:color="auto"/>
        <w:left w:val="none" w:sz="0" w:space="0" w:color="auto"/>
        <w:bottom w:val="none" w:sz="0" w:space="0" w:color="auto"/>
        <w:right w:val="none" w:sz="0" w:space="0" w:color="auto"/>
      </w:divBdr>
    </w:div>
    <w:div w:id="1664896158">
      <w:bodyDiv w:val="1"/>
      <w:marLeft w:val="0"/>
      <w:marRight w:val="0"/>
      <w:marTop w:val="0"/>
      <w:marBottom w:val="0"/>
      <w:divBdr>
        <w:top w:val="none" w:sz="0" w:space="0" w:color="auto"/>
        <w:left w:val="none" w:sz="0" w:space="0" w:color="auto"/>
        <w:bottom w:val="none" w:sz="0" w:space="0" w:color="auto"/>
        <w:right w:val="none" w:sz="0" w:space="0" w:color="auto"/>
      </w:divBdr>
    </w:div>
    <w:div w:id="1678774300">
      <w:bodyDiv w:val="1"/>
      <w:marLeft w:val="0"/>
      <w:marRight w:val="0"/>
      <w:marTop w:val="0"/>
      <w:marBottom w:val="0"/>
      <w:divBdr>
        <w:top w:val="none" w:sz="0" w:space="0" w:color="auto"/>
        <w:left w:val="none" w:sz="0" w:space="0" w:color="auto"/>
        <w:bottom w:val="none" w:sz="0" w:space="0" w:color="auto"/>
        <w:right w:val="none" w:sz="0" w:space="0" w:color="auto"/>
      </w:divBdr>
    </w:div>
    <w:div w:id="1701511858">
      <w:bodyDiv w:val="1"/>
      <w:marLeft w:val="0"/>
      <w:marRight w:val="0"/>
      <w:marTop w:val="0"/>
      <w:marBottom w:val="0"/>
      <w:divBdr>
        <w:top w:val="none" w:sz="0" w:space="0" w:color="auto"/>
        <w:left w:val="none" w:sz="0" w:space="0" w:color="auto"/>
        <w:bottom w:val="none" w:sz="0" w:space="0" w:color="auto"/>
        <w:right w:val="none" w:sz="0" w:space="0" w:color="auto"/>
      </w:divBdr>
    </w:div>
    <w:div w:id="1707948825">
      <w:bodyDiv w:val="1"/>
      <w:marLeft w:val="0"/>
      <w:marRight w:val="0"/>
      <w:marTop w:val="0"/>
      <w:marBottom w:val="0"/>
      <w:divBdr>
        <w:top w:val="none" w:sz="0" w:space="0" w:color="auto"/>
        <w:left w:val="none" w:sz="0" w:space="0" w:color="auto"/>
        <w:bottom w:val="none" w:sz="0" w:space="0" w:color="auto"/>
        <w:right w:val="none" w:sz="0" w:space="0" w:color="auto"/>
      </w:divBdr>
    </w:div>
    <w:div w:id="1708992441">
      <w:bodyDiv w:val="1"/>
      <w:marLeft w:val="0"/>
      <w:marRight w:val="0"/>
      <w:marTop w:val="0"/>
      <w:marBottom w:val="0"/>
      <w:divBdr>
        <w:top w:val="none" w:sz="0" w:space="0" w:color="auto"/>
        <w:left w:val="none" w:sz="0" w:space="0" w:color="auto"/>
        <w:bottom w:val="none" w:sz="0" w:space="0" w:color="auto"/>
        <w:right w:val="none" w:sz="0" w:space="0" w:color="auto"/>
      </w:divBdr>
    </w:div>
    <w:div w:id="1710257271">
      <w:bodyDiv w:val="1"/>
      <w:marLeft w:val="0"/>
      <w:marRight w:val="0"/>
      <w:marTop w:val="0"/>
      <w:marBottom w:val="0"/>
      <w:divBdr>
        <w:top w:val="none" w:sz="0" w:space="0" w:color="auto"/>
        <w:left w:val="none" w:sz="0" w:space="0" w:color="auto"/>
        <w:bottom w:val="none" w:sz="0" w:space="0" w:color="auto"/>
        <w:right w:val="none" w:sz="0" w:space="0" w:color="auto"/>
      </w:divBdr>
    </w:div>
    <w:div w:id="1713731613">
      <w:bodyDiv w:val="1"/>
      <w:marLeft w:val="0"/>
      <w:marRight w:val="0"/>
      <w:marTop w:val="0"/>
      <w:marBottom w:val="0"/>
      <w:divBdr>
        <w:top w:val="none" w:sz="0" w:space="0" w:color="auto"/>
        <w:left w:val="none" w:sz="0" w:space="0" w:color="auto"/>
        <w:bottom w:val="none" w:sz="0" w:space="0" w:color="auto"/>
        <w:right w:val="none" w:sz="0" w:space="0" w:color="auto"/>
      </w:divBdr>
    </w:div>
    <w:div w:id="1718123375">
      <w:bodyDiv w:val="1"/>
      <w:marLeft w:val="0"/>
      <w:marRight w:val="0"/>
      <w:marTop w:val="0"/>
      <w:marBottom w:val="0"/>
      <w:divBdr>
        <w:top w:val="none" w:sz="0" w:space="0" w:color="auto"/>
        <w:left w:val="none" w:sz="0" w:space="0" w:color="auto"/>
        <w:bottom w:val="none" w:sz="0" w:space="0" w:color="auto"/>
        <w:right w:val="none" w:sz="0" w:space="0" w:color="auto"/>
      </w:divBdr>
    </w:div>
    <w:div w:id="1719012070">
      <w:bodyDiv w:val="1"/>
      <w:marLeft w:val="0"/>
      <w:marRight w:val="0"/>
      <w:marTop w:val="0"/>
      <w:marBottom w:val="0"/>
      <w:divBdr>
        <w:top w:val="none" w:sz="0" w:space="0" w:color="auto"/>
        <w:left w:val="none" w:sz="0" w:space="0" w:color="auto"/>
        <w:bottom w:val="none" w:sz="0" w:space="0" w:color="auto"/>
        <w:right w:val="none" w:sz="0" w:space="0" w:color="auto"/>
      </w:divBdr>
    </w:div>
    <w:div w:id="1739473800">
      <w:bodyDiv w:val="1"/>
      <w:marLeft w:val="0"/>
      <w:marRight w:val="0"/>
      <w:marTop w:val="0"/>
      <w:marBottom w:val="0"/>
      <w:divBdr>
        <w:top w:val="none" w:sz="0" w:space="0" w:color="auto"/>
        <w:left w:val="none" w:sz="0" w:space="0" w:color="auto"/>
        <w:bottom w:val="none" w:sz="0" w:space="0" w:color="auto"/>
        <w:right w:val="none" w:sz="0" w:space="0" w:color="auto"/>
      </w:divBdr>
    </w:div>
    <w:div w:id="1742286899">
      <w:bodyDiv w:val="1"/>
      <w:marLeft w:val="0"/>
      <w:marRight w:val="0"/>
      <w:marTop w:val="0"/>
      <w:marBottom w:val="0"/>
      <w:divBdr>
        <w:top w:val="none" w:sz="0" w:space="0" w:color="auto"/>
        <w:left w:val="none" w:sz="0" w:space="0" w:color="auto"/>
        <w:bottom w:val="none" w:sz="0" w:space="0" w:color="auto"/>
        <w:right w:val="none" w:sz="0" w:space="0" w:color="auto"/>
      </w:divBdr>
    </w:div>
    <w:div w:id="1750424577">
      <w:bodyDiv w:val="1"/>
      <w:marLeft w:val="0"/>
      <w:marRight w:val="0"/>
      <w:marTop w:val="0"/>
      <w:marBottom w:val="0"/>
      <w:divBdr>
        <w:top w:val="none" w:sz="0" w:space="0" w:color="auto"/>
        <w:left w:val="none" w:sz="0" w:space="0" w:color="auto"/>
        <w:bottom w:val="none" w:sz="0" w:space="0" w:color="auto"/>
        <w:right w:val="none" w:sz="0" w:space="0" w:color="auto"/>
      </w:divBdr>
    </w:div>
    <w:div w:id="1751266579">
      <w:bodyDiv w:val="1"/>
      <w:marLeft w:val="0"/>
      <w:marRight w:val="0"/>
      <w:marTop w:val="0"/>
      <w:marBottom w:val="0"/>
      <w:divBdr>
        <w:top w:val="none" w:sz="0" w:space="0" w:color="auto"/>
        <w:left w:val="none" w:sz="0" w:space="0" w:color="auto"/>
        <w:bottom w:val="none" w:sz="0" w:space="0" w:color="auto"/>
        <w:right w:val="none" w:sz="0" w:space="0" w:color="auto"/>
      </w:divBdr>
    </w:div>
    <w:div w:id="1759597927">
      <w:bodyDiv w:val="1"/>
      <w:marLeft w:val="0"/>
      <w:marRight w:val="0"/>
      <w:marTop w:val="0"/>
      <w:marBottom w:val="0"/>
      <w:divBdr>
        <w:top w:val="none" w:sz="0" w:space="0" w:color="auto"/>
        <w:left w:val="none" w:sz="0" w:space="0" w:color="auto"/>
        <w:bottom w:val="none" w:sz="0" w:space="0" w:color="auto"/>
        <w:right w:val="none" w:sz="0" w:space="0" w:color="auto"/>
      </w:divBdr>
    </w:div>
    <w:div w:id="1765758054">
      <w:bodyDiv w:val="1"/>
      <w:marLeft w:val="0"/>
      <w:marRight w:val="0"/>
      <w:marTop w:val="0"/>
      <w:marBottom w:val="0"/>
      <w:divBdr>
        <w:top w:val="none" w:sz="0" w:space="0" w:color="auto"/>
        <w:left w:val="none" w:sz="0" w:space="0" w:color="auto"/>
        <w:bottom w:val="none" w:sz="0" w:space="0" w:color="auto"/>
        <w:right w:val="none" w:sz="0" w:space="0" w:color="auto"/>
      </w:divBdr>
    </w:div>
    <w:div w:id="1788163848">
      <w:bodyDiv w:val="1"/>
      <w:marLeft w:val="0"/>
      <w:marRight w:val="0"/>
      <w:marTop w:val="0"/>
      <w:marBottom w:val="0"/>
      <w:divBdr>
        <w:top w:val="none" w:sz="0" w:space="0" w:color="auto"/>
        <w:left w:val="none" w:sz="0" w:space="0" w:color="auto"/>
        <w:bottom w:val="none" w:sz="0" w:space="0" w:color="auto"/>
        <w:right w:val="none" w:sz="0" w:space="0" w:color="auto"/>
      </w:divBdr>
    </w:div>
    <w:div w:id="1795438479">
      <w:bodyDiv w:val="1"/>
      <w:marLeft w:val="0"/>
      <w:marRight w:val="0"/>
      <w:marTop w:val="0"/>
      <w:marBottom w:val="0"/>
      <w:divBdr>
        <w:top w:val="none" w:sz="0" w:space="0" w:color="auto"/>
        <w:left w:val="none" w:sz="0" w:space="0" w:color="auto"/>
        <w:bottom w:val="none" w:sz="0" w:space="0" w:color="auto"/>
        <w:right w:val="none" w:sz="0" w:space="0" w:color="auto"/>
      </w:divBdr>
    </w:div>
    <w:div w:id="1798641261">
      <w:bodyDiv w:val="1"/>
      <w:marLeft w:val="0"/>
      <w:marRight w:val="0"/>
      <w:marTop w:val="0"/>
      <w:marBottom w:val="0"/>
      <w:divBdr>
        <w:top w:val="none" w:sz="0" w:space="0" w:color="auto"/>
        <w:left w:val="none" w:sz="0" w:space="0" w:color="auto"/>
        <w:bottom w:val="none" w:sz="0" w:space="0" w:color="auto"/>
        <w:right w:val="none" w:sz="0" w:space="0" w:color="auto"/>
      </w:divBdr>
    </w:div>
    <w:div w:id="1805543099">
      <w:bodyDiv w:val="1"/>
      <w:marLeft w:val="0"/>
      <w:marRight w:val="0"/>
      <w:marTop w:val="0"/>
      <w:marBottom w:val="0"/>
      <w:divBdr>
        <w:top w:val="none" w:sz="0" w:space="0" w:color="auto"/>
        <w:left w:val="none" w:sz="0" w:space="0" w:color="auto"/>
        <w:bottom w:val="none" w:sz="0" w:space="0" w:color="auto"/>
        <w:right w:val="none" w:sz="0" w:space="0" w:color="auto"/>
      </w:divBdr>
    </w:div>
    <w:div w:id="1818917394">
      <w:bodyDiv w:val="1"/>
      <w:marLeft w:val="0"/>
      <w:marRight w:val="0"/>
      <w:marTop w:val="0"/>
      <w:marBottom w:val="0"/>
      <w:divBdr>
        <w:top w:val="none" w:sz="0" w:space="0" w:color="auto"/>
        <w:left w:val="none" w:sz="0" w:space="0" w:color="auto"/>
        <w:bottom w:val="none" w:sz="0" w:space="0" w:color="auto"/>
        <w:right w:val="none" w:sz="0" w:space="0" w:color="auto"/>
      </w:divBdr>
    </w:div>
    <w:div w:id="1823961499">
      <w:bodyDiv w:val="1"/>
      <w:marLeft w:val="0"/>
      <w:marRight w:val="0"/>
      <w:marTop w:val="0"/>
      <w:marBottom w:val="0"/>
      <w:divBdr>
        <w:top w:val="none" w:sz="0" w:space="0" w:color="auto"/>
        <w:left w:val="none" w:sz="0" w:space="0" w:color="auto"/>
        <w:bottom w:val="none" w:sz="0" w:space="0" w:color="auto"/>
        <w:right w:val="none" w:sz="0" w:space="0" w:color="auto"/>
      </w:divBdr>
    </w:div>
    <w:div w:id="1841458588">
      <w:bodyDiv w:val="1"/>
      <w:marLeft w:val="0"/>
      <w:marRight w:val="0"/>
      <w:marTop w:val="0"/>
      <w:marBottom w:val="0"/>
      <w:divBdr>
        <w:top w:val="none" w:sz="0" w:space="0" w:color="auto"/>
        <w:left w:val="none" w:sz="0" w:space="0" w:color="auto"/>
        <w:bottom w:val="none" w:sz="0" w:space="0" w:color="auto"/>
        <w:right w:val="none" w:sz="0" w:space="0" w:color="auto"/>
      </w:divBdr>
    </w:div>
    <w:div w:id="1855417305">
      <w:bodyDiv w:val="1"/>
      <w:marLeft w:val="0"/>
      <w:marRight w:val="0"/>
      <w:marTop w:val="0"/>
      <w:marBottom w:val="0"/>
      <w:divBdr>
        <w:top w:val="none" w:sz="0" w:space="0" w:color="auto"/>
        <w:left w:val="none" w:sz="0" w:space="0" w:color="auto"/>
        <w:bottom w:val="none" w:sz="0" w:space="0" w:color="auto"/>
        <w:right w:val="none" w:sz="0" w:space="0" w:color="auto"/>
      </w:divBdr>
    </w:div>
    <w:div w:id="1864630283">
      <w:bodyDiv w:val="1"/>
      <w:marLeft w:val="0"/>
      <w:marRight w:val="0"/>
      <w:marTop w:val="0"/>
      <w:marBottom w:val="0"/>
      <w:divBdr>
        <w:top w:val="none" w:sz="0" w:space="0" w:color="auto"/>
        <w:left w:val="none" w:sz="0" w:space="0" w:color="auto"/>
        <w:bottom w:val="none" w:sz="0" w:space="0" w:color="auto"/>
        <w:right w:val="none" w:sz="0" w:space="0" w:color="auto"/>
      </w:divBdr>
    </w:div>
    <w:div w:id="1866017453">
      <w:bodyDiv w:val="1"/>
      <w:marLeft w:val="0"/>
      <w:marRight w:val="0"/>
      <w:marTop w:val="0"/>
      <w:marBottom w:val="0"/>
      <w:divBdr>
        <w:top w:val="none" w:sz="0" w:space="0" w:color="auto"/>
        <w:left w:val="none" w:sz="0" w:space="0" w:color="auto"/>
        <w:bottom w:val="none" w:sz="0" w:space="0" w:color="auto"/>
        <w:right w:val="none" w:sz="0" w:space="0" w:color="auto"/>
      </w:divBdr>
    </w:div>
    <w:div w:id="1888640105">
      <w:bodyDiv w:val="1"/>
      <w:marLeft w:val="0"/>
      <w:marRight w:val="0"/>
      <w:marTop w:val="0"/>
      <w:marBottom w:val="0"/>
      <w:divBdr>
        <w:top w:val="none" w:sz="0" w:space="0" w:color="auto"/>
        <w:left w:val="none" w:sz="0" w:space="0" w:color="auto"/>
        <w:bottom w:val="none" w:sz="0" w:space="0" w:color="auto"/>
        <w:right w:val="none" w:sz="0" w:space="0" w:color="auto"/>
      </w:divBdr>
    </w:div>
    <w:div w:id="1892769208">
      <w:bodyDiv w:val="1"/>
      <w:marLeft w:val="0"/>
      <w:marRight w:val="0"/>
      <w:marTop w:val="0"/>
      <w:marBottom w:val="0"/>
      <w:divBdr>
        <w:top w:val="none" w:sz="0" w:space="0" w:color="auto"/>
        <w:left w:val="none" w:sz="0" w:space="0" w:color="auto"/>
        <w:bottom w:val="none" w:sz="0" w:space="0" w:color="auto"/>
        <w:right w:val="none" w:sz="0" w:space="0" w:color="auto"/>
      </w:divBdr>
    </w:div>
    <w:div w:id="1918787053">
      <w:bodyDiv w:val="1"/>
      <w:marLeft w:val="0"/>
      <w:marRight w:val="0"/>
      <w:marTop w:val="0"/>
      <w:marBottom w:val="0"/>
      <w:divBdr>
        <w:top w:val="none" w:sz="0" w:space="0" w:color="auto"/>
        <w:left w:val="none" w:sz="0" w:space="0" w:color="auto"/>
        <w:bottom w:val="none" w:sz="0" w:space="0" w:color="auto"/>
        <w:right w:val="none" w:sz="0" w:space="0" w:color="auto"/>
      </w:divBdr>
    </w:div>
    <w:div w:id="1937400853">
      <w:bodyDiv w:val="1"/>
      <w:marLeft w:val="0"/>
      <w:marRight w:val="0"/>
      <w:marTop w:val="0"/>
      <w:marBottom w:val="0"/>
      <w:divBdr>
        <w:top w:val="none" w:sz="0" w:space="0" w:color="auto"/>
        <w:left w:val="none" w:sz="0" w:space="0" w:color="auto"/>
        <w:bottom w:val="none" w:sz="0" w:space="0" w:color="auto"/>
        <w:right w:val="none" w:sz="0" w:space="0" w:color="auto"/>
      </w:divBdr>
    </w:div>
    <w:div w:id="1941982406">
      <w:bodyDiv w:val="1"/>
      <w:marLeft w:val="0"/>
      <w:marRight w:val="0"/>
      <w:marTop w:val="0"/>
      <w:marBottom w:val="0"/>
      <w:divBdr>
        <w:top w:val="none" w:sz="0" w:space="0" w:color="auto"/>
        <w:left w:val="none" w:sz="0" w:space="0" w:color="auto"/>
        <w:bottom w:val="none" w:sz="0" w:space="0" w:color="auto"/>
        <w:right w:val="none" w:sz="0" w:space="0" w:color="auto"/>
      </w:divBdr>
    </w:div>
    <w:div w:id="1955163045">
      <w:bodyDiv w:val="1"/>
      <w:marLeft w:val="0"/>
      <w:marRight w:val="0"/>
      <w:marTop w:val="0"/>
      <w:marBottom w:val="0"/>
      <w:divBdr>
        <w:top w:val="none" w:sz="0" w:space="0" w:color="auto"/>
        <w:left w:val="none" w:sz="0" w:space="0" w:color="auto"/>
        <w:bottom w:val="none" w:sz="0" w:space="0" w:color="auto"/>
        <w:right w:val="none" w:sz="0" w:space="0" w:color="auto"/>
      </w:divBdr>
    </w:div>
    <w:div w:id="1955164091">
      <w:bodyDiv w:val="1"/>
      <w:marLeft w:val="0"/>
      <w:marRight w:val="0"/>
      <w:marTop w:val="0"/>
      <w:marBottom w:val="0"/>
      <w:divBdr>
        <w:top w:val="none" w:sz="0" w:space="0" w:color="auto"/>
        <w:left w:val="none" w:sz="0" w:space="0" w:color="auto"/>
        <w:bottom w:val="none" w:sz="0" w:space="0" w:color="auto"/>
        <w:right w:val="none" w:sz="0" w:space="0" w:color="auto"/>
      </w:divBdr>
    </w:div>
    <w:div w:id="1963997716">
      <w:bodyDiv w:val="1"/>
      <w:marLeft w:val="0"/>
      <w:marRight w:val="0"/>
      <w:marTop w:val="0"/>
      <w:marBottom w:val="0"/>
      <w:divBdr>
        <w:top w:val="none" w:sz="0" w:space="0" w:color="auto"/>
        <w:left w:val="none" w:sz="0" w:space="0" w:color="auto"/>
        <w:bottom w:val="none" w:sz="0" w:space="0" w:color="auto"/>
        <w:right w:val="none" w:sz="0" w:space="0" w:color="auto"/>
      </w:divBdr>
    </w:div>
    <w:div w:id="1978099198">
      <w:bodyDiv w:val="1"/>
      <w:marLeft w:val="0"/>
      <w:marRight w:val="0"/>
      <w:marTop w:val="0"/>
      <w:marBottom w:val="0"/>
      <w:divBdr>
        <w:top w:val="none" w:sz="0" w:space="0" w:color="auto"/>
        <w:left w:val="none" w:sz="0" w:space="0" w:color="auto"/>
        <w:bottom w:val="none" w:sz="0" w:space="0" w:color="auto"/>
        <w:right w:val="none" w:sz="0" w:space="0" w:color="auto"/>
      </w:divBdr>
    </w:div>
    <w:div w:id="1979458342">
      <w:bodyDiv w:val="1"/>
      <w:marLeft w:val="0"/>
      <w:marRight w:val="0"/>
      <w:marTop w:val="0"/>
      <w:marBottom w:val="0"/>
      <w:divBdr>
        <w:top w:val="none" w:sz="0" w:space="0" w:color="auto"/>
        <w:left w:val="none" w:sz="0" w:space="0" w:color="auto"/>
        <w:bottom w:val="none" w:sz="0" w:space="0" w:color="auto"/>
        <w:right w:val="none" w:sz="0" w:space="0" w:color="auto"/>
      </w:divBdr>
    </w:div>
    <w:div w:id="1996061090">
      <w:bodyDiv w:val="1"/>
      <w:marLeft w:val="0"/>
      <w:marRight w:val="0"/>
      <w:marTop w:val="0"/>
      <w:marBottom w:val="0"/>
      <w:divBdr>
        <w:top w:val="none" w:sz="0" w:space="0" w:color="auto"/>
        <w:left w:val="none" w:sz="0" w:space="0" w:color="auto"/>
        <w:bottom w:val="none" w:sz="0" w:space="0" w:color="auto"/>
        <w:right w:val="none" w:sz="0" w:space="0" w:color="auto"/>
      </w:divBdr>
    </w:div>
    <w:div w:id="1999260429">
      <w:bodyDiv w:val="1"/>
      <w:marLeft w:val="0"/>
      <w:marRight w:val="0"/>
      <w:marTop w:val="0"/>
      <w:marBottom w:val="0"/>
      <w:divBdr>
        <w:top w:val="none" w:sz="0" w:space="0" w:color="auto"/>
        <w:left w:val="none" w:sz="0" w:space="0" w:color="auto"/>
        <w:bottom w:val="none" w:sz="0" w:space="0" w:color="auto"/>
        <w:right w:val="none" w:sz="0" w:space="0" w:color="auto"/>
      </w:divBdr>
    </w:div>
    <w:div w:id="2000889918">
      <w:bodyDiv w:val="1"/>
      <w:marLeft w:val="0"/>
      <w:marRight w:val="0"/>
      <w:marTop w:val="0"/>
      <w:marBottom w:val="0"/>
      <w:divBdr>
        <w:top w:val="none" w:sz="0" w:space="0" w:color="auto"/>
        <w:left w:val="none" w:sz="0" w:space="0" w:color="auto"/>
        <w:bottom w:val="none" w:sz="0" w:space="0" w:color="auto"/>
        <w:right w:val="none" w:sz="0" w:space="0" w:color="auto"/>
      </w:divBdr>
    </w:div>
    <w:div w:id="2003728450">
      <w:bodyDiv w:val="1"/>
      <w:marLeft w:val="0"/>
      <w:marRight w:val="0"/>
      <w:marTop w:val="0"/>
      <w:marBottom w:val="0"/>
      <w:divBdr>
        <w:top w:val="none" w:sz="0" w:space="0" w:color="auto"/>
        <w:left w:val="none" w:sz="0" w:space="0" w:color="auto"/>
        <w:bottom w:val="none" w:sz="0" w:space="0" w:color="auto"/>
        <w:right w:val="none" w:sz="0" w:space="0" w:color="auto"/>
      </w:divBdr>
    </w:div>
    <w:div w:id="2031056171">
      <w:bodyDiv w:val="1"/>
      <w:marLeft w:val="0"/>
      <w:marRight w:val="0"/>
      <w:marTop w:val="0"/>
      <w:marBottom w:val="0"/>
      <w:divBdr>
        <w:top w:val="none" w:sz="0" w:space="0" w:color="auto"/>
        <w:left w:val="none" w:sz="0" w:space="0" w:color="auto"/>
        <w:bottom w:val="none" w:sz="0" w:space="0" w:color="auto"/>
        <w:right w:val="none" w:sz="0" w:space="0" w:color="auto"/>
      </w:divBdr>
    </w:div>
    <w:div w:id="2040856708">
      <w:bodyDiv w:val="1"/>
      <w:marLeft w:val="0"/>
      <w:marRight w:val="0"/>
      <w:marTop w:val="0"/>
      <w:marBottom w:val="0"/>
      <w:divBdr>
        <w:top w:val="none" w:sz="0" w:space="0" w:color="auto"/>
        <w:left w:val="none" w:sz="0" w:space="0" w:color="auto"/>
        <w:bottom w:val="none" w:sz="0" w:space="0" w:color="auto"/>
        <w:right w:val="none" w:sz="0" w:space="0" w:color="auto"/>
      </w:divBdr>
    </w:div>
    <w:div w:id="2043894037">
      <w:bodyDiv w:val="1"/>
      <w:marLeft w:val="0"/>
      <w:marRight w:val="0"/>
      <w:marTop w:val="0"/>
      <w:marBottom w:val="0"/>
      <w:divBdr>
        <w:top w:val="none" w:sz="0" w:space="0" w:color="auto"/>
        <w:left w:val="none" w:sz="0" w:space="0" w:color="auto"/>
        <w:bottom w:val="none" w:sz="0" w:space="0" w:color="auto"/>
        <w:right w:val="none" w:sz="0" w:space="0" w:color="auto"/>
      </w:divBdr>
    </w:div>
    <w:div w:id="2111732284">
      <w:bodyDiv w:val="1"/>
      <w:marLeft w:val="0"/>
      <w:marRight w:val="0"/>
      <w:marTop w:val="0"/>
      <w:marBottom w:val="0"/>
      <w:divBdr>
        <w:top w:val="none" w:sz="0" w:space="0" w:color="auto"/>
        <w:left w:val="none" w:sz="0" w:space="0" w:color="auto"/>
        <w:bottom w:val="none" w:sz="0" w:space="0" w:color="auto"/>
        <w:right w:val="none" w:sz="0" w:space="0" w:color="auto"/>
      </w:divBdr>
    </w:div>
    <w:div w:id="213821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ff992745-f220-4876-9849-ff8ae0c073b3" origin="userSelected">
  <element uid="e2c622b5-29cc-428f-afc3-3e64db76545d"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DB0C5-9DBD-4612-9FD1-2B42DFB0EBF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CEE6ECD-92F7-4D07-A9E5-A6C4D84AE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11786</Words>
  <Characters>66935</Characters>
  <Application>Microsoft Office Word</Application>
  <DocSecurity>0</DocSecurity>
  <Lines>2231</Lines>
  <Paragraphs>1381</Paragraphs>
  <ScaleCrop>false</ScaleCrop>
  <HeadingPairs>
    <vt:vector size="2" baseType="variant">
      <vt:variant>
        <vt:lpstr>Title</vt:lpstr>
      </vt:variant>
      <vt:variant>
        <vt:i4>1</vt:i4>
      </vt:variant>
    </vt:vector>
  </HeadingPairs>
  <TitlesOfParts>
    <vt:vector size="1" baseType="lpstr">
      <vt:lpstr>Qualitative Information required under Basle II for inclusion in the annual report 2005</vt:lpstr>
    </vt:vector>
  </TitlesOfParts>
  <Company>Industrial bank of kuwait</Company>
  <LinksUpToDate>false</LinksUpToDate>
  <CharactersWithSpaces>77340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Qualitative Information required under Basle II for inclusion in the annual report 2005</dc:title>
  <dc:creator>b_majumdar</dc:creator>
  <cp:lastModifiedBy>Yasmeen ElShazly</cp:lastModifiedBy>
  <cp:revision>12</cp:revision>
  <cp:lastPrinted>2026-01-20T10:18:00Z</cp:lastPrinted>
  <dcterms:created xsi:type="dcterms:W3CDTF">2026-02-11T10:31:00Z</dcterms:created>
  <dcterms:modified xsi:type="dcterms:W3CDTF">2026-02-11T10:42:00Z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36bba81c-f40b-4928-b0a8-7865a26ecb64</vt:lpwstr>
  </property>
  <property fmtid="{D5CDD505-2E9C-101B-9397-08002B2CF9AE}" pid="3" name="bjSaver">
    <vt:lpwstr>MBW+SELbGCUpoV55MB0VcaYw1Npl/U59</vt:lpwstr>
  </property>
  <property fmtid="{D5CDD505-2E9C-101B-9397-08002B2CF9AE}" pid="4" name="bjDocumentLabelXML">
    <vt:lpwstr>&lt;?xml version="1.0" encoding="us-ascii"?&gt;&lt;sisl xmlns:xsd="http://www.w3.org/2001/XMLSchema" xmlns:xsi="http://www.w3.org/2001/XMLSchema-instance" sislVersion="0" policy="ff992745-f220-4876-9849-ff8ae0c073b3" origin="userSelected" xmlns="http://www.boldonj</vt:lpwstr>
  </property>
  <property fmtid="{D5CDD505-2E9C-101B-9397-08002B2CF9AE}" pid="5" name="bjDocumentLabelXML-0">
    <vt:lpwstr>ames.com/2008/01/sie/internal/label"&gt;&lt;element uid="e2c622b5-29cc-428f-afc3-3e64db76545d" value="" /&gt;&lt;/sisl&gt;</vt:lpwstr>
  </property>
  <property fmtid="{D5CDD505-2E9C-101B-9397-08002B2CF9AE}" pid="6" name="bjDocumentSecurityLabel">
    <vt:lpwstr>CONFIDENTIAL</vt:lpwstr>
  </property>
  <property fmtid="{D5CDD505-2E9C-101B-9397-08002B2CF9AE}" pid="7" name="Classification">
    <vt:lpwstr>IBK-BJ-C</vt:lpwstr>
  </property>
  <property fmtid="{D5CDD505-2E9C-101B-9397-08002B2CF9AE}" pid="8" name="bjFooterBothDocProperty">
    <vt:lpwstr>Classification: CONFIDENTIAL</vt:lpwstr>
  </property>
  <property fmtid="{D5CDD505-2E9C-101B-9397-08002B2CF9AE}" pid="9" name="bjFooterFirstPageDocProperty">
    <vt:lpwstr>Classification: CONFIDENTIAL</vt:lpwstr>
  </property>
  <property fmtid="{D5CDD505-2E9C-101B-9397-08002B2CF9AE}" pid="10" name="bjFooterEvenPageDocProperty">
    <vt:lpwstr>Classification: CONFIDENTIAL</vt:lpwstr>
  </property>
  <property fmtid="{D5CDD505-2E9C-101B-9397-08002B2CF9AE}" pid="11" name="bj-Saver">
    <vt:lpwstr>Yasmeen A Elshazly</vt:lpwstr>
  </property>
  <property fmtid="{D5CDD505-2E9C-101B-9397-08002B2CF9AE}" pid="12" name="ClassificationContentMarkingFooterShapeIds">
    <vt:lpwstr>6124f86b,1cfc75a9,4cc0c0ce</vt:lpwstr>
  </property>
  <property fmtid="{D5CDD505-2E9C-101B-9397-08002B2CF9AE}" pid="13" name="ClassificationContentMarkingFooterFontProps">
    <vt:lpwstr>#0000ff,10,Aptos</vt:lpwstr>
  </property>
  <property fmtid="{D5CDD505-2E9C-101B-9397-08002B2CF9AE}" pid="14" name="ClassificationContentMarkingFooterText">
    <vt:lpwstr>Classification: INTERNAL</vt:lpwstr>
  </property>
  <property fmtid="{D5CDD505-2E9C-101B-9397-08002B2CF9AE}" pid="15" name="MSIP_Label_7d0dd125-4afd-400d-a2b5-a409ea5b1386_Enabled">
    <vt:lpwstr>true</vt:lpwstr>
  </property>
  <property fmtid="{D5CDD505-2E9C-101B-9397-08002B2CF9AE}" pid="16" name="MSIP_Label_7d0dd125-4afd-400d-a2b5-a409ea5b1386_SetDate">
    <vt:lpwstr>2025-12-15T05:34:59Z</vt:lpwstr>
  </property>
  <property fmtid="{D5CDD505-2E9C-101B-9397-08002B2CF9AE}" pid="17" name="MSIP_Label_7d0dd125-4afd-400d-a2b5-a409ea5b1386_Method">
    <vt:lpwstr>Standard</vt:lpwstr>
  </property>
  <property fmtid="{D5CDD505-2E9C-101B-9397-08002B2CF9AE}" pid="18" name="MSIP_Label_7d0dd125-4afd-400d-a2b5-a409ea5b1386_Name">
    <vt:lpwstr>Internal</vt:lpwstr>
  </property>
  <property fmtid="{D5CDD505-2E9C-101B-9397-08002B2CF9AE}" pid="19" name="MSIP_Label_7d0dd125-4afd-400d-a2b5-a409ea5b1386_SiteId">
    <vt:lpwstr>b8978724-fd48-453e-87e3-68e1ebd3d5e2</vt:lpwstr>
  </property>
  <property fmtid="{D5CDD505-2E9C-101B-9397-08002B2CF9AE}" pid="20" name="MSIP_Label_7d0dd125-4afd-400d-a2b5-a409ea5b1386_ActionId">
    <vt:lpwstr>b3e1c5f5-a418-4179-8a38-d2423a4c0f44</vt:lpwstr>
  </property>
  <property fmtid="{D5CDD505-2E9C-101B-9397-08002B2CF9AE}" pid="21" name="MSIP_Label_7d0dd125-4afd-400d-a2b5-a409ea5b1386_ContentBits">
    <vt:lpwstr>2</vt:lpwstr>
  </property>
  <property fmtid="{D5CDD505-2E9C-101B-9397-08002B2CF9AE}" pid="22" name="MSIP_Label_7d0dd125-4afd-400d-a2b5-a409ea5b1386_Tag">
    <vt:lpwstr>10, 3, 0, 1</vt:lpwstr>
  </property>
</Properties>
</file>